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r>
        <w:rPr>
          <w:rFonts w:ascii="方正小标宋简体" w:hAnsi="黑体" w:eastAsia="方正小标宋简体"/>
          <w:b/>
          <w:sz w:val="44"/>
          <w:szCs w:val="44"/>
        </w:rPr>
        <w:t>证券评级业务高级管理人员资质测试大纲</w:t>
      </w:r>
      <w:r>
        <w:rPr>
          <w:rFonts w:hint="eastAsia" w:ascii="方正小标宋简体" w:hAnsi="黑体" w:eastAsia="方正小标宋简体"/>
          <w:b/>
          <w:sz w:val="44"/>
          <w:szCs w:val="44"/>
        </w:rPr>
        <w:t>（</w:t>
      </w:r>
      <w:r>
        <w:rPr>
          <w:rFonts w:hint="eastAsia" w:ascii="方正小标宋简体" w:hAnsi="黑体" w:eastAsia="方正小标宋简体"/>
          <w:b/>
          <w:sz w:val="44"/>
          <w:szCs w:val="44"/>
          <w:lang w:val="en-US" w:eastAsia="zh-CN"/>
        </w:rPr>
        <w:t>2024</w:t>
      </w:r>
      <w:r>
        <w:rPr>
          <w:rFonts w:hint="eastAsia" w:ascii="方正小标宋简体" w:hAnsi="黑体" w:eastAsia="方正小标宋简体"/>
          <w:b/>
          <w:sz w:val="44"/>
          <w:szCs w:val="44"/>
        </w:rPr>
        <w:t>）</w:t>
      </w: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中国证</w:t>
      </w:r>
      <w:bookmarkStart w:id="668" w:name="_GoBack"/>
      <w:bookmarkEnd w:id="668"/>
      <w:r>
        <w:rPr>
          <w:rFonts w:hint="eastAsia" w:ascii="方正小标宋简体" w:hAnsi="黑体" w:eastAsia="方正小标宋简体"/>
          <w:sz w:val="44"/>
          <w:szCs w:val="44"/>
        </w:rPr>
        <w:t>券业协会</w:t>
      </w:r>
    </w:p>
    <w:p>
      <w:pPr>
        <w:jc w:val="center"/>
        <w:rPr>
          <w:rFonts w:ascii="Times New Roman" w:hAnsi="Times New Roman" w:eastAsia="华文中宋"/>
          <w:b/>
          <w:sz w:val="36"/>
          <w:szCs w:val="36"/>
        </w:rPr>
      </w:pPr>
      <w:r>
        <w:rPr>
          <w:rFonts w:hint="eastAsia" w:ascii="方正小标宋简体" w:hAnsi="黑体" w:eastAsia="方正小标宋简体"/>
          <w:sz w:val="44"/>
          <w:szCs w:val="44"/>
        </w:rPr>
        <w:t>202</w:t>
      </w:r>
      <w:r>
        <w:rPr>
          <w:rFonts w:ascii="方正小标宋简体" w:hAnsi="黑体" w:eastAsia="方正小标宋简体"/>
          <w:sz w:val="44"/>
          <w:szCs w:val="44"/>
        </w:rPr>
        <w:t>4</w:t>
      </w:r>
      <w:r>
        <w:rPr>
          <w:rFonts w:hint="eastAsia" w:ascii="方正小标宋简体" w:hAnsi="黑体" w:eastAsia="方正小标宋简体"/>
          <w:sz w:val="44"/>
          <w:szCs w:val="44"/>
        </w:rPr>
        <w:t>年</w:t>
      </w:r>
      <w:r>
        <w:rPr>
          <w:rFonts w:hint="default" w:ascii="方正小标宋简体" w:hAnsi="黑体" w:eastAsia="方正小标宋简体"/>
          <w:sz w:val="44"/>
          <w:szCs w:val="44"/>
          <w:lang w:val="en" w:eastAsia="zh-CN"/>
        </w:rPr>
        <w:t>9</w:t>
      </w:r>
      <w:r>
        <w:rPr>
          <w:rFonts w:hint="eastAsia" w:ascii="方正小标宋简体" w:hAnsi="黑体" w:eastAsia="方正小标宋简体"/>
          <w:sz w:val="44"/>
          <w:szCs w:val="44"/>
        </w:rPr>
        <w:t>月</w:t>
      </w:r>
    </w:p>
    <w:p>
      <w:pPr>
        <w:jc w:val="center"/>
        <w:rPr>
          <w:rFonts w:ascii="方正小标宋简体" w:hAnsi="黑体" w:eastAsia="方正小标宋简体"/>
          <w:b/>
          <w:sz w:val="44"/>
          <w:szCs w:val="44"/>
        </w:rPr>
      </w:pPr>
    </w:p>
    <w:p>
      <w:pPr>
        <w:jc w:val="center"/>
        <w:rPr>
          <w:rFonts w:ascii="方正小标宋简体" w:hAnsi="黑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仿宋_GB2312" w:eastAsia="仿宋_GB2312"/>
          <w:b/>
          <w:bCs/>
          <w:color w:val="000000"/>
          <w:sz w:val="44"/>
          <w:szCs w:val="44"/>
        </w:rPr>
      </w:pPr>
      <w:r>
        <w:rPr>
          <w:rFonts w:hint="eastAsia" w:ascii="仿宋_GB2312" w:eastAsia="仿宋_GB2312"/>
          <w:b/>
          <w:bCs/>
          <w:color w:val="000000"/>
          <w:sz w:val="44"/>
          <w:szCs w:val="44"/>
        </w:rPr>
        <w:t>目</w:t>
      </w:r>
      <w:r>
        <w:rPr>
          <w:rFonts w:hint="eastAsia" w:ascii="仿宋_GB2312" w:eastAsia="仿宋_GB2312"/>
          <w:b/>
          <w:bCs/>
          <w:color w:val="000000"/>
          <w:sz w:val="44"/>
          <w:szCs w:val="44"/>
          <w:lang w:val="en-US" w:eastAsia="zh-CN"/>
        </w:rPr>
        <w:t xml:space="preserve"> </w:t>
      </w:r>
      <w:r>
        <w:rPr>
          <w:rFonts w:hint="eastAsia" w:ascii="仿宋_GB2312" w:eastAsia="仿宋_GB2312"/>
          <w:b/>
          <w:bCs/>
          <w:color w:val="000000"/>
          <w:sz w:val="44"/>
          <w:szCs w:val="44"/>
        </w:rPr>
        <w:t>录</w:t>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spacing w:beforeLines="50" w:afterLines="50"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TOC \o "1-3" \h \u </w:instrText>
      </w:r>
      <w:r>
        <w:rPr>
          <w:rFonts w:hint="eastAsia" w:asciiTheme="minorEastAsia" w:hAnsiTheme="minorEastAsia" w:eastAsiaTheme="minorEastAsia" w:cstheme="minorEastAsia"/>
          <w:color w:val="000000"/>
          <w:sz w:val="24"/>
          <w:szCs w:val="24"/>
        </w:rPr>
        <w:fldChar w:fldCharType="separate"/>
      </w:r>
      <w:r>
        <w:fldChar w:fldCharType="begin"/>
      </w:r>
      <w:r>
        <w:instrText xml:space="preserve"> HYPERLINK \l "_Toc601747635" </w:instrText>
      </w:r>
      <w:r>
        <w:fldChar w:fldCharType="separate"/>
      </w:r>
      <w:r>
        <w:rPr>
          <w:rFonts w:hint="eastAsia" w:asciiTheme="minorEastAsia" w:hAnsiTheme="minorEastAsia" w:eastAsiaTheme="minorEastAsia" w:cstheme="minorEastAsia"/>
          <w:bCs w:val="0"/>
          <w:sz w:val="28"/>
          <w:szCs w:val="28"/>
          <w:lang w:val="zh-CN"/>
        </w:rPr>
        <w:t>第一部分 党中央、国务院重大决策部署及综合性法规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_Toc601747635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"_Toc1430064188" </w:instrText>
      </w:r>
      <w:r>
        <w:fldChar w:fldCharType="separate"/>
      </w:r>
      <w:r>
        <w:rPr>
          <w:rFonts w:hint="eastAsia" w:asciiTheme="minorEastAsia" w:hAnsiTheme="minorEastAsia" w:eastAsiaTheme="minorEastAsia" w:cstheme="minorEastAsia"/>
          <w:b/>
          <w:bCs/>
          <w:sz w:val="24"/>
          <w:szCs w:val="24"/>
        </w:rPr>
        <w:t>（一）党中央、国务院</w:t>
      </w:r>
      <w:r>
        <w:rPr>
          <w:rFonts w:hint="eastAsia" w:asciiTheme="minorEastAsia" w:hAnsiTheme="minorEastAsia" w:eastAsiaTheme="minorEastAsia" w:cstheme="minorEastAsia"/>
          <w:b/>
          <w:bCs/>
          <w:sz w:val="24"/>
          <w:szCs w:val="24"/>
          <w:lang w:eastAsia="zh-CN"/>
        </w:rPr>
        <w:t>重大</w:t>
      </w:r>
      <w:r>
        <w:rPr>
          <w:rFonts w:hint="eastAsia" w:asciiTheme="minorEastAsia" w:hAnsiTheme="minorEastAsia" w:eastAsiaTheme="minorEastAsia" w:cstheme="minorEastAsia"/>
          <w:b/>
          <w:bCs/>
          <w:sz w:val="24"/>
          <w:szCs w:val="24"/>
        </w:rPr>
        <w:t>决策部署</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_Toc1430064188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"_Toc1599305499" </w:instrText>
      </w:r>
      <w:r>
        <w:fldChar w:fldCharType="separate"/>
      </w:r>
      <w:r>
        <w:rPr>
          <w:rFonts w:hint="eastAsia" w:asciiTheme="minorEastAsia" w:hAnsiTheme="minorEastAsia" w:eastAsiaTheme="minorEastAsia" w:cstheme="minorEastAsia"/>
          <w:i w:val="0"/>
          <w:iCs w:val="0"/>
          <w:sz w:val="24"/>
          <w:szCs w:val="24"/>
        </w:rPr>
        <w:t>1.习近平</w:t>
      </w:r>
      <w:r>
        <w:rPr>
          <w:rFonts w:hint="eastAsia" w:asciiTheme="minorEastAsia" w:hAnsiTheme="minorEastAsia" w:eastAsiaTheme="minorEastAsia" w:cstheme="minorEastAsia"/>
          <w:i w:val="0"/>
          <w:iCs w:val="0"/>
          <w:sz w:val="24"/>
          <w:szCs w:val="24"/>
          <w:lang w:eastAsia="zh-CN"/>
        </w:rPr>
        <w:t>总书记</w:t>
      </w:r>
      <w:r>
        <w:rPr>
          <w:rFonts w:hint="eastAsia" w:asciiTheme="minorEastAsia" w:hAnsiTheme="minorEastAsia" w:eastAsiaTheme="minorEastAsia" w:cstheme="minorEastAsia"/>
          <w:i w:val="0"/>
          <w:iCs w:val="0"/>
          <w:sz w:val="24"/>
          <w:szCs w:val="24"/>
        </w:rPr>
        <w:t>关于金融工作的重要论述</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_Toc1599305499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"_Toc801977791" </w:instrText>
      </w:r>
      <w:r>
        <w:fldChar w:fldCharType="separate"/>
      </w:r>
      <w:r>
        <w:rPr>
          <w:rFonts w:hint="eastAsia" w:asciiTheme="minorEastAsia" w:hAnsiTheme="minorEastAsia" w:eastAsiaTheme="minorEastAsia" w:cstheme="minorEastAsia"/>
          <w:i w:val="0"/>
          <w:iCs w:val="0"/>
          <w:sz w:val="24"/>
          <w:szCs w:val="24"/>
        </w:rPr>
        <w:t>2.《国务院关于加强监管防范风险推动资本市场高质量发展的若干意见》</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_Toc801977791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"_Toc656664090" </w:instrText>
      </w:r>
      <w:r>
        <w:fldChar w:fldCharType="separate"/>
      </w:r>
      <w:r>
        <w:rPr>
          <w:rFonts w:hint="eastAsia" w:asciiTheme="minorEastAsia" w:hAnsiTheme="minorEastAsia" w:eastAsiaTheme="minorEastAsia" w:cstheme="minorEastAsia"/>
          <w:i w:val="0"/>
          <w:iCs w:val="0"/>
          <w:sz w:val="24"/>
          <w:szCs w:val="24"/>
        </w:rPr>
        <w:t>3.《关于依法从严打击证券违法活动的意见》</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_Toc656664090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"_Toc2095743385" </w:instrText>
      </w:r>
      <w:r>
        <w:fldChar w:fldCharType="separate"/>
      </w:r>
      <w:r>
        <w:rPr>
          <w:rFonts w:hint="eastAsia" w:asciiTheme="minorEastAsia" w:hAnsiTheme="minorEastAsia" w:eastAsiaTheme="minorEastAsia" w:cstheme="minorEastAsia"/>
          <w:b/>
          <w:bCs/>
          <w:sz w:val="24"/>
          <w:szCs w:val="24"/>
        </w:rPr>
        <w:t>（二）法律及行政法规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_Toc2095743385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"_Toc1498372978" </w:instrText>
      </w:r>
      <w:r>
        <w:fldChar w:fldCharType="separate"/>
      </w:r>
      <w:r>
        <w:rPr>
          <w:rFonts w:hint="eastAsia" w:asciiTheme="minorEastAsia" w:hAnsiTheme="minorEastAsia" w:eastAsiaTheme="minorEastAsia" w:cstheme="minorEastAsia"/>
          <w:i w:val="0"/>
          <w:iCs w:val="0"/>
          <w:sz w:val="24"/>
          <w:szCs w:val="24"/>
        </w:rPr>
        <w:t>1.《中华人民共和国公司法》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_Toc1498372978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"_Toc1308120108" </w:instrText>
      </w:r>
      <w:r>
        <w:fldChar w:fldCharType="separate"/>
      </w:r>
      <w:r>
        <w:rPr>
          <w:rFonts w:hint="eastAsia" w:asciiTheme="minorEastAsia" w:hAnsiTheme="minorEastAsia" w:eastAsiaTheme="minorEastAsia" w:cstheme="minorEastAsia"/>
          <w:i w:val="0"/>
          <w:iCs w:val="0"/>
          <w:sz w:val="24"/>
          <w:szCs w:val="24"/>
        </w:rPr>
        <w:t>2.《中华人民共和国证券法》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_Toc1308120108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"_Toc1558356953" </w:instrText>
      </w:r>
      <w:r>
        <w:fldChar w:fldCharType="separate"/>
      </w:r>
      <w:r>
        <w:rPr>
          <w:rFonts w:hint="eastAsia" w:asciiTheme="minorEastAsia" w:hAnsiTheme="minorEastAsia" w:eastAsiaTheme="minorEastAsia" w:cstheme="minorEastAsia"/>
          <w:i w:val="0"/>
          <w:iCs w:val="0"/>
          <w:sz w:val="24"/>
          <w:szCs w:val="24"/>
        </w:rPr>
        <w:t>3.《中华人民共和国民法典》关于合同、担保物权的相关规定</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_Toc1558356953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"_Toc797986683" </w:instrText>
      </w:r>
      <w:r>
        <w:fldChar w:fldCharType="separate"/>
      </w:r>
      <w:r>
        <w:rPr>
          <w:rFonts w:hint="eastAsia" w:asciiTheme="minorEastAsia" w:hAnsiTheme="minorEastAsia" w:eastAsiaTheme="minorEastAsia" w:cstheme="minorEastAsia"/>
          <w:i w:val="0"/>
          <w:iCs w:val="0"/>
          <w:sz w:val="24"/>
          <w:szCs w:val="24"/>
        </w:rPr>
        <w:t>4.《中华人民共和国刑法》及其修正案</w:t>
      </w:r>
      <w:r>
        <w:rPr>
          <w:rFonts w:hint="eastAsia" w:asciiTheme="minorEastAsia" w:hAnsiTheme="minorEastAsia" w:eastAsiaTheme="minorEastAsia" w:cstheme="minorEastAsia"/>
          <w:i w:val="0"/>
          <w:iCs w:val="0"/>
          <w:sz w:val="24"/>
          <w:szCs w:val="24"/>
          <w:lang w:eastAsia="zh-CN"/>
        </w:rPr>
        <w:t>证</w:t>
      </w:r>
      <w:r>
        <w:rPr>
          <w:rFonts w:hint="eastAsia" w:asciiTheme="minorEastAsia" w:hAnsiTheme="minorEastAsia" w:eastAsiaTheme="minorEastAsia" w:cstheme="minorEastAsia"/>
          <w:i w:val="0"/>
          <w:iCs w:val="0"/>
          <w:sz w:val="24"/>
          <w:szCs w:val="24"/>
          <w:highlight w:val="none"/>
          <w:lang w:eastAsia="zh-CN"/>
        </w:rPr>
        <w:t>券相关</w:t>
      </w:r>
      <w:r>
        <w:rPr>
          <w:rFonts w:hint="eastAsia" w:asciiTheme="minorEastAsia" w:hAnsiTheme="minorEastAsia" w:eastAsiaTheme="minorEastAsia" w:cstheme="minorEastAsia"/>
          <w:i w:val="0"/>
          <w:iCs w:val="0"/>
          <w:sz w:val="24"/>
          <w:szCs w:val="24"/>
          <w:highlight w:val="none"/>
        </w:rPr>
        <w:t>犯罪</w:t>
      </w:r>
      <w:r>
        <w:rPr>
          <w:rFonts w:hint="eastAsia" w:asciiTheme="minorEastAsia" w:hAnsiTheme="minorEastAsia" w:eastAsiaTheme="minorEastAsia" w:cstheme="minorEastAsia"/>
          <w:i w:val="0"/>
          <w:iCs w:val="0"/>
          <w:sz w:val="24"/>
          <w:szCs w:val="24"/>
        </w:rPr>
        <w:t>的规定</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_Toc797986683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"_Toc1927483608" </w:instrText>
      </w:r>
      <w:r>
        <w:fldChar w:fldCharType="separate"/>
      </w:r>
      <w:r>
        <w:rPr>
          <w:rFonts w:hint="eastAsia" w:asciiTheme="minorEastAsia" w:hAnsiTheme="minorEastAsia" w:eastAsiaTheme="minorEastAsia" w:cstheme="minorEastAsia"/>
          <w:i w:val="0"/>
          <w:iCs w:val="0"/>
          <w:sz w:val="24"/>
          <w:szCs w:val="24"/>
        </w:rPr>
        <w:t>5.《中华人民共和国预算法》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_Toc1927483608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"_Toc841028121" </w:instrText>
      </w:r>
      <w:r>
        <w:fldChar w:fldCharType="separate"/>
      </w:r>
      <w:r>
        <w:rPr>
          <w:rFonts w:hint="eastAsia" w:asciiTheme="minorEastAsia" w:hAnsiTheme="minorEastAsia" w:eastAsiaTheme="minorEastAsia" w:cstheme="minorEastAsia"/>
          <w:i w:val="0"/>
          <w:iCs w:val="0"/>
          <w:sz w:val="24"/>
          <w:szCs w:val="24"/>
        </w:rPr>
        <w:t>6.《企业债券管理条例》</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_Toc841028121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"_Toc1599202272" </w:instrText>
      </w:r>
      <w:r>
        <w:fldChar w:fldCharType="separate"/>
      </w:r>
      <w:r>
        <w:rPr>
          <w:rFonts w:hint="eastAsia" w:asciiTheme="minorEastAsia" w:hAnsiTheme="minorEastAsia" w:eastAsiaTheme="minorEastAsia" w:cstheme="minorEastAsia"/>
          <w:b/>
          <w:bCs/>
          <w:sz w:val="24"/>
          <w:szCs w:val="24"/>
        </w:rPr>
        <w:t>（三）部门规章、规范性文件及自律规则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_Toc1599202272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"_Toc276980079" </w:instrText>
      </w:r>
      <w:r>
        <w:fldChar w:fldCharType="separate"/>
      </w:r>
      <w:r>
        <w:rPr>
          <w:rFonts w:hint="eastAsia" w:asciiTheme="minorEastAsia" w:hAnsiTheme="minorEastAsia" w:eastAsiaTheme="minorEastAsia" w:cstheme="minorEastAsia"/>
          <w:i w:val="0"/>
          <w:iCs w:val="0"/>
          <w:sz w:val="24"/>
          <w:szCs w:val="24"/>
        </w:rPr>
        <w:t>1.《证券期货经营机构及其工作人员廉洁从业规定》及《证券经营机构及其工作人员廉洁从业实施细则》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_Toc276980079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"_Toc1769981653" </w:instrText>
      </w:r>
      <w:r>
        <w:fldChar w:fldCharType="separate"/>
      </w:r>
      <w:r>
        <w:rPr>
          <w:rFonts w:hint="eastAsia" w:asciiTheme="minorEastAsia" w:hAnsiTheme="minorEastAsia" w:eastAsiaTheme="minorEastAsia" w:cstheme="minorEastAsia"/>
          <w:i w:val="0"/>
          <w:iCs w:val="0"/>
          <w:sz w:val="24"/>
          <w:szCs w:val="24"/>
        </w:rPr>
        <w:t>2.《证券期货市场诚信监督管理办法》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_Toc1769981653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"_Toc1742390826" </w:instrText>
      </w:r>
      <w:r>
        <w:fldChar w:fldCharType="separate"/>
      </w:r>
      <w:r>
        <w:rPr>
          <w:rFonts w:hint="eastAsia" w:asciiTheme="minorEastAsia" w:hAnsiTheme="minorEastAsia" w:eastAsiaTheme="minorEastAsia" w:cstheme="minorEastAsia"/>
          <w:i w:val="0"/>
          <w:iCs w:val="0"/>
          <w:sz w:val="24"/>
          <w:szCs w:val="24"/>
        </w:rPr>
        <w:t>3.《证券行业诚信准则》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_Toc1742390826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"_Toc1743648665" </w:instrText>
      </w:r>
      <w:r>
        <w:fldChar w:fldCharType="separate"/>
      </w:r>
      <w:r>
        <w:rPr>
          <w:rFonts w:hint="eastAsia" w:asciiTheme="minorEastAsia" w:hAnsiTheme="minorEastAsia" w:eastAsiaTheme="minorEastAsia" w:cstheme="minorEastAsia"/>
          <w:i w:val="0"/>
          <w:iCs w:val="0"/>
          <w:sz w:val="24"/>
          <w:szCs w:val="24"/>
        </w:rPr>
        <w:t>4.《证券行业执业声誉信息管理办法》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_Toc1743648665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"_Toc1674227101" </w:instrText>
      </w:r>
      <w:r>
        <w:fldChar w:fldCharType="separate"/>
      </w:r>
      <w:r>
        <w:rPr>
          <w:rFonts w:hint="eastAsia" w:asciiTheme="minorEastAsia" w:hAnsiTheme="minorEastAsia" w:eastAsiaTheme="minorEastAsia" w:cstheme="minorEastAsia"/>
          <w:i w:val="0"/>
          <w:iCs w:val="0"/>
          <w:sz w:val="24"/>
          <w:szCs w:val="24"/>
        </w:rPr>
        <w:t>5.《证券从业人员职业道德准则》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_Toc1674227101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"_Toc358035234" </w:instrText>
      </w:r>
      <w:r>
        <w:fldChar w:fldCharType="separate"/>
      </w:r>
      <w:r>
        <w:rPr>
          <w:rFonts w:hint="eastAsia" w:asciiTheme="minorEastAsia" w:hAnsiTheme="minorEastAsia" w:eastAsiaTheme="minorEastAsia" w:cstheme="minorEastAsia"/>
          <w:i w:val="0"/>
          <w:iCs w:val="0"/>
          <w:sz w:val="24"/>
          <w:szCs w:val="24"/>
        </w:rPr>
        <w:t>6.《证券市场禁入规定》</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_Toc358035234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"_Toc1627870848" </w:instrText>
      </w:r>
      <w:r>
        <w:fldChar w:fldCharType="separate"/>
      </w:r>
      <w:r>
        <w:rPr>
          <w:rFonts w:hint="eastAsia" w:asciiTheme="minorEastAsia" w:hAnsiTheme="minorEastAsia" w:eastAsiaTheme="minorEastAsia" w:cstheme="minorEastAsia"/>
          <w:i w:val="0"/>
          <w:iCs w:val="0"/>
          <w:sz w:val="24"/>
          <w:szCs w:val="24"/>
        </w:rPr>
        <w:t>7.《中国人民银行 中国证券监督管理委员会公告〔2018〕第14号》</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_Toc1627870848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"_Toc578899944" </w:instrText>
      </w:r>
      <w:r>
        <w:fldChar w:fldCharType="separate"/>
      </w:r>
      <w:r>
        <w:rPr>
          <w:rFonts w:hint="eastAsia" w:asciiTheme="minorEastAsia" w:hAnsiTheme="minorEastAsia" w:eastAsiaTheme="minorEastAsia" w:cstheme="minorEastAsia"/>
          <w:i w:val="0"/>
          <w:iCs w:val="0"/>
          <w:sz w:val="24"/>
          <w:szCs w:val="24"/>
        </w:rPr>
        <w:t>8.《信用评级业管理暂行办法》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_Toc578899944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"_Toc1549070318" </w:instrText>
      </w:r>
      <w:r>
        <w:fldChar w:fldCharType="separate"/>
      </w:r>
      <w:r>
        <w:rPr>
          <w:rFonts w:hint="eastAsia" w:asciiTheme="minorEastAsia" w:hAnsiTheme="minorEastAsia" w:eastAsiaTheme="minorEastAsia" w:cstheme="minorEastAsia"/>
          <w:i w:val="0"/>
          <w:iCs w:val="0"/>
          <w:sz w:val="24"/>
          <w:szCs w:val="24"/>
        </w:rPr>
        <w:t>9.《中国人民银行 发展改革委 证监会关于公司信用类债券违约处置有关事宜的通知》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_Toc1549070318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"_Toc616612008" </w:instrText>
      </w:r>
      <w:r>
        <w:fldChar w:fldCharType="separate"/>
      </w:r>
      <w:r>
        <w:rPr>
          <w:rFonts w:hint="eastAsia" w:asciiTheme="minorEastAsia" w:hAnsiTheme="minorEastAsia" w:eastAsiaTheme="minorEastAsia" w:cstheme="minorEastAsia"/>
          <w:i w:val="0"/>
          <w:iCs w:val="0"/>
          <w:sz w:val="24"/>
          <w:szCs w:val="24"/>
        </w:rPr>
        <w:t>10.《中国人民银行 中国证券监督管理委员会公告〔2020〕第7号》</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_Toc616612008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"_Toc587635745" </w:instrText>
      </w:r>
      <w:r>
        <w:fldChar w:fldCharType="separate"/>
      </w:r>
      <w:r>
        <w:rPr>
          <w:rFonts w:hint="eastAsia" w:asciiTheme="minorEastAsia" w:hAnsiTheme="minorEastAsia" w:eastAsiaTheme="minorEastAsia" w:cstheme="minorEastAsia"/>
          <w:i w:val="0"/>
          <w:iCs w:val="0"/>
          <w:sz w:val="24"/>
          <w:szCs w:val="24"/>
        </w:rPr>
        <w:t>11.《公司信用类债券信息披露管理办法》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_Toc587635745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8</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"_Toc1292406425" </w:instrText>
      </w:r>
      <w:r>
        <w:fldChar w:fldCharType="separate"/>
      </w:r>
      <w:r>
        <w:rPr>
          <w:rFonts w:hint="eastAsia" w:asciiTheme="minorEastAsia" w:hAnsiTheme="minorEastAsia" w:eastAsiaTheme="minorEastAsia" w:cstheme="minorEastAsia"/>
          <w:i w:val="0"/>
          <w:iCs w:val="0"/>
          <w:sz w:val="24"/>
          <w:szCs w:val="24"/>
        </w:rPr>
        <w:t>12.《中国人民银行 国家发展改革委 财政部 银保监会 证监会关于促进债券市场信用评级行业健康发展的通知》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_Toc1292406425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8</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"_Toc1139032048" </w:instrText>
      </w:r>
      <w:r>
        <w:fldChar w:fldCharType="separate"/>
      </w:r>
      <w:r>
        <w:rPr>
          <w:rFonts w:hint="eastAsia" w:asciiTheme="minorEastAsia" w:hAnsiTheme="minorEastAsia" w:eastAsiaTheme="minorEastAsia" w:cstheme="minorEastAsia"/>
          <w:i w:val="0"/>
          <w:iCs w:val="0"/>
          <w:sz w:val="24"/>
          <w:szCs w:val="24"/>
        </w:rPr>
        <w:t>13.《关于注册制下提高中介机构债券业务执业质量的指导意见》</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_Toc1139032048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8</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"_Toc1714875270" </w:instrText>
      </w:r>
      <w:r>
        <w:fldChar w:fldCharType="separate"/>
      </w:r>
      <w:r>
        <w:rPr>
          <w:rFonts w:hint="eastAsia" w:asciiTheme="minorEastAsia" w:hAnsiTheme="minorEastAsia" w:eastAsiaTheme="minorEastAsia" w:cstheme="minorEastAsia"/>
          <w:i w:val="0"/>
          <w:iCs w:val="0"/>
          <w:sz w:val="24"/>
          <w:szCs w:val="24"/>
        </w:rPr>
        <w:t>14.《债券市场信用评级机构联合市场化评价办法》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_Toc1714875270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9</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spacing w:beforeLines="50" w:afterLines="50" w:line="360" w:lineRule="auto"/>
        <w:textAlignment w:val="auto"/>
        <w:rPr>
          <w:rFonts w:asciiTheme="minorEastAsia" w:hAnsiTheme="minorEastAsia" w:eastAsiaTheme="minorEastAsia" w:cstheme="minorEastAsia"/>
          <w:sz w:val="28"/>
          <w:szCs w:val="28"/>
        </w:rPr>
      </w:pPr>
      <w:r>
        <w:fldChar w:fldCharType="begin"/>
      </w:r>
      <w:r>
        <w:instrText xml:space="preserve"> HYPERLINK \l "_Toc1265449745" </w:instrText>
      </w:r>
      <w:r>
        <w:fldChar w:fldCharType="separate"/>
      </w:r>
      <w:r>
        <w:rPr>
          <w:rFonts w:hint="eastAsia" w:asciiTheme="minorEastAsia" w:hAnsiTheme="minorEastAsia" w:eastAsiaTheme="minorEastAsia" w:cstheme="minorEastAsia"/>
          <w:bCs w:val="0"/>
          <w:sz w:val="28"/>
          <w:szCs w:val="28"/>
          <w:lang w:val="zh-CN"/>
        </w:rPr>
        <w:t>第二部分 交易所债券市场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_Toc1265449745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"_Toc335559190" </w:instrText>
      </w:r>
      <w:r>
        <w:fldChar w:fldCharType="separate"/>
      </w:r>
      <w:r>
        <w:rPr>
          <w:rFonts w:hint="eastAsia" w:asciiTheme="minorEastAsia" w:hAnsiTheme="minorEastAsia" w:eastAsiaTheme="minorEastAsia" w:cstheme="minorEastAsia"/>
          <w:b/>
          <w:bCs/>
          <w:sz w:val="24"/>
          <w:szCs w:val="24"/>
        </w:rPr>
        <w:t>（一）评级业务管理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_Toc335559190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"_Toc902917826" </w:instrText>
      </w:r>
      <w:r>
        <w:fldChar w:fldCharType="separate"/>
      </w:r>
      <w:r>
        <w:rPr>
          <w:rFonts w:hint="eastAsia" w:asciiTheme="minorEastAsia" w:hAnsiTheme="minorEastAsia" w:eastAsiaTheme="minorEastAsia" w:cstheme="minorEastAsia"/>
          <w:i w:val="0"/>
          <w:iCs w:val="0"/>
          <w:sz w:val="24"/>
          <w:szCs w:val="24"/>
        </w:rPr>
        <w:t>1.《证券市场资信评级业务管理办法》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_Toc902917826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9</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"_Toc256545465" </w:instrText>
      </w:r>
      <w:r>
        <w:fldChar w:fldCharType="separate"/>
      </w:r>
      <w:r>
        <w:rPr>
          <w:rFonts w:hint="eastAsia" w:asciiTheme="minorEastAsia" w:hAnsiTheme="minorEastAsia" w:eastAsiaTheme="minorEastAsia" w:cstheme="minorEastAsia"/>
          <w:i w:val="0"/>
          <w:iCs w:val="0"/>
          <w:sz w:val="24"/>
          <w:szCs w:val="24"/>
        </w:rPr>
        <w:t>2.《证券市场资信评级机构执业规范》</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_Toc256545465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10</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"_Toc937306825" </w:instrText>
      </w:r>
      <w:r>
        <w:fldChar w:fldCharType="separate"/>
      </w:r>
      <w:r>
        <w:rPr>
          <w:rFonts w:hint="eastAsia" w:asciiTheme="minorEastAsia" w:hAnsiTheme="minorEastAsia" w:eastAsiaTheme="minorEastAsia" w:cstheme="minorEastAsia"/>
          <w:i w:val="0"/>
          <w:iCs w:val="0"/>
          <w:sz w:val="24"/>
          <w:szCs w:val="24"/>
        </w:rPr>
        <w:t>3.《证券市场资信评级机构信息披露指引》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_Toc937306825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"_Toc185498367" </w:instrText>
      </w:r>
      <w:r>
        <w:fldChar w:fldCharType="separate"/>
      </w:r>
      <w:r>
        <w:rPr>
          <w:rFonts w:hint="eastAsia" w:asciiTheme="minorEastAsia" w:hAnsiTheme="minorEastAsia" w:eastAsiaTheme="minorEastAsia" w:cstheme="minorEastAsia"/>
          <w:i w:val="0"/>
          <w:iCs w:val="0"/>
          <w:sz w:val="24"/>
          <w:szCs w:val="24"/>
        </w:rPr>
        <w:t>4.《证券市场资信评级机构尽职调查指引》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_Toc185498367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"_Toc1855850965" </w:instrText>
      </w:r>
      <w:r>
        <w:fldChar w:fldCharType="separate"/>
      </w:r>
      <w:r>
        <w:rPr>
          <w:rFonts w:hint="eastAsia" w:asciiTheme="minorEastAsia" w:hAnsiTheme="minorEastAsia" w:eastAsiaTheme="minorEastAsia" w:cstheme="minorEastAsia"/>
          <w:i w:val="0"/>
          <w:iCs w:val="0"/>
          <w:sz w:val="24"/>
          <w:szCs w:val="24"/>
        </w:rPr>
        <w:t>5.《证券市场资信评级机构尽职调查工作底稿目录细则》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_Toc1855850965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"_Toc1739284616" </w:instrText>
      </w:r>
      <w:r>
        <w:fldChar w:fldCharType="separate"/>
      </w:r>
      <w:r>
        <w:rPr>
          <w:rFonts w:hint="eastAsia" w:asciiTheme="minorEastAsia" w:hAnsiTheme="minorEastAsia" w:eastAsiaTheme="minorEastAsia" w:cstheme="minorEastAsia"/>
          <w:i w:val="0"/>
          <w:iCs w:val="0"/>
          <w:sz w:val="24"/>
          <w:szCs w:val="24"/>
        </w:rPr>
        <w:t>6.《证券服务机构从事证券服务业务备案管理规定》</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_Toc1739284616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"_Toc842162457" </w:instrText>
      </w:r>
      <w:r>
        <w:fldChar w:fldCharType="separate"/>
      </w:r>
      <w:r>
        <w:rPr>
          <w:rFonts w:hint="eastAsia" w:asciiTheme="minorEastAsia" w:hAnsiTheme="minorEastAsia" w:eastAsiaTheme="minorEastAsia" w:cstheme="minorEastAsia"/>
          <w:b/>
          <w:bCs/>
          <w:sz w:val="24"/>
          <w:szCs w:val="24"/>
        </w:rPr>
        <w:t>（二）债券发行与交易</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_Toc842162457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"_Toc1804110702" </w:instrText>
      </w:r>
      <w:r>
        <w:fldChar w:fldCharType="separate"/>
      </w:r>
      <w:r>
        <w:rPr>
          <w:rFonts w:hint="eastAsia" w:asciiTheme="minorEastAsia" w:hAnsiTheme="minorEastAsia" w:eastAsiaTheme="minorEastAsia" w:cstheme="minorEastAsia"/>
          <w:i w:val="0"/>
          <w:iCs w:val="0"/>
          <w:sz w:val="24"/>
          <w:szCs w:val="24"/>
        </w:rPr>
        <w:t>1.《公司债券发行与交易管理办法》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_Toc1804110702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"_Toc1090173946" </w:instrText>
      </w:r>
      <w:r>
        <w:fldChar w:fldCharType="separate"/>
      </w:r>
      <w:r>
        <w:rPr>
          <w:rFonts w:hint="eastAsia" w:asciiTheme="minorEastAsia" w:hAnsiTheme="minorEastAsia" w:eastAsiaTheme="minorEastAsia" w:cstheme="minorEastAsia"/>
          <w:i w:val="0"/>
          <w:iCs w:val="0"/>
          <w:sz w:val="24"/>
          <w:szCs w:val="24"/>
        </w:rPr>
        <w:t>2.《上市公司证券发行注册管理办法》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_Toc1090173946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"_Toc2798918" </w:instrText>
      </w:r>
      <w:r>
        <w:fldChar w:fldCharType="separate"/>
      </w:r>
      <w:r>
        <w:rPr>
          <w:rFonts w:hint="eastAsia" w:asciiTheme="minorEastAsia" w:hAnsiTheme="minorEastAsia" w:eastAsiaTheme="minorEastAsia" w:cstheme="minorEastAsia"/>
          <w:i w:val="0"/>
          <w:iCs w:val="0"/>
          <w:sz w:val="24"/>
          <w:szCs w:val="24"/>
        </w:rPr>
        <w:t>3.《可转换公司债券管理办法》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_Toc2798918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"_Toc1214984007" </w:instrText>
      </w:r>
      <w:r>
        <w:fldChar w:fldCharType="separate"/>
      </w:r>
      <w:r>
        <w:rPr>
          <w:rFonts w:hint="eastAsia" w:asciiTheme="minorEastAsia" w:hAnsiTheme="minorEastAsia" w:eastAsiaTheme="minorEastAsia" w:cstheme="minorEastAsia"/>
          <w:i w:val="0"/>
          <w:iCs w:val="0"/>
          <w:sz w:val="24"/>
          <w:szCs w:val="24"/>
        </w:rPr>
        <w:t>4.《上市公司股东发行可交换公司债券试行规定》</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_Toc1214984007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"_Toc1888160630" </w:instrText>
      </w:r>
      <w:r>
        <w:fldChar w:fldCharType="separate"/>
      </w:r>
      <w:r>
        <w:rPr>
          <w:rFonts w:hint="eastAsia" w:asciiTheme="minorEastAsia" w:hAnsiTheme="minorEastAsia" w:eastAsiaTheme="minorEastAsia" w:cstheme="minorEastAsia"/>
          <w:i w:val="0"/>
          <w:iCs w:val="0"/>
          <w:sz w:val="24"/>
          <w:szCs w:val="24"/>
        </w:rPr>
        <w:t>5.《上海证券交易所公司债券发行上市审核规则》、《深圳证券交易所公司债券发行上市审核规则》及《北京证券交易所公司债券发行上市审核规则》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_Toc1888160630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"_Toc1930282526" </w:instrText>
      </w:r>
      <w:r>
        <w:fldChar w:fldCharType="separate"/>
      </w:r>
      <w:r>
        <w:rPr>
          <w:rFonts w:hint="eastAsia" w:asciiTheme="minorEastAsia" w:hAnsiTheme="minorEastAsia" w:eastAsiaTheme="minorEastAsia" w:cstheme="minorEastAsia"/>
          <w:i w:val="0"/>
          <w:iCs w:val="0"/>
          <w:sz w:val="24"/>
          <w:szCs w:val="24"/>
        </w:rPr>
        <w:t>6.《上海证券交易所公司债券发行上市审核规则适用指引第3号——审核重点关注事项（2023年修订）》、《深圳证券交易所公司债券发行上市审核业务指引第2号——审核重点关注事项（2023年修订）》及《北京证券交易所公司债券发行上市审核规则适用指引第3号——审核重点关注事项》</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_Toc1930282526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"_Toc2056012128" </w:instrText>
      </w:r>
      <w:r>
        <w:fldChar w:fldCharType="separate"/>
      </w:r>
      <w:r>
        <w:rPr>
          <w:rFonts w:hint="eastAsia" w:asciiTheme="minorEastAsia" w:hAnsiTheme="minorEastAsia" w:eastAsiaTheme="minorEastAsia" w:cstheme="minorEastAsia"/>
          <w:i w:val="0"/>
          <w:iCs w:val="0"/>
          <w:sz w:val="24"/>
          <w:szCs w:val="24"/>
        </w:rPr>
        <w:t>7.《上海证券交易所公司债券发行上市审核规则适用指引第6号——知名成熟发行人优化审核（2023年修订）》、《深圳证券交易所公司债券发行上市审核业务指引第3号——优化审核安排》及《北京证券交易所公司债券发行上市审核规则适用指引第6号——知名成熟发行人优化审核》</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_Toc2056012128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"_Toc1339879254" </w:instrText>
      </w:r>
      <w:r>
        <w:fldChar w:fldCharType="separate"/>
      </w:r>
      <w:r>
        <w:rPr>
          <w:rFonts w:hint="eastAsia" w:asciiTheme="minorEastAsia" w:hAnsiTheme="minorEastAsia" w:eastAsiaTheme="minorEastAsia" w:cstheme="minorEastAsia"/>
          <w:i w:val="0"/>
          <w:iCs w:val="0"/>
          <w:sz w:val="24"/>
          <w:szCs w:val="24"/>
        </w:rPr>
        <w:t>8.《上海证券交易所公司债券上市规则（2023年修订）》、《深圳证券交易所公司债券上市规则（2023年修订）》及《北京证券交易所公司债券上市规则》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_Toc1339879254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"_Toc59778957" </w:instrText>
      </w:r>
      <w:r>
        <w:fldChar w:fldCharType="separate"/>
      </w:r>
      <w:r>
        <w:rPr>
          <w:rFonts w:hint="eastAsia" w:asciiTheme="minorEastAsia" w:hAnsiTheme="minorEastAsia" w:eastAsiaTheme="minorEastAsia" w:cstheme="minorEastAsia"/>
          <w:i w:val="0"/>
          <w:iCs w:val="0"/>
          <w:sz w:val="24"/>
          <w:szCs w:val="24"/>
        </w:rPr>
        <w:t>9.《上海证券交易所非公开发行公司债券挂牌规则（2023年修订）》和《深圳证券交易所非公开发行公司债券挂牌规则（2023年修订）》</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_Toc59778957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"_Toc1678510134" </w:instrText>
      </w:r>
      <w:r>
        <w:fldChar w:fldCharType="separate"/>
      </w:r>
      <w:r>
        <w:rPr>
          <w:rFonts w:hint="eastAsia" w:asciiTheme="minorEastAsia" w:hAnsiTheme="minorEastAsia" w:eastAsiaTheme="minorEastAsia" w:cstheme="minorEastAsia"/>
          <w:i w:val="0"/>
          <w:iCs w:val="0"/>
          <w:sz w:val="24"/>
          <w:szCs w:val="24"/>
        </w:rPr>
        <w:t>10.《非公开发行公司债券项目承接负面清单指引》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_Toc1678510134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"_Toc934786432" </w:instrText>
      </w:r>
      <w:r>
        <w:fldChar w:fldCharType="separate"/>
      </w:r>
      <w:r>
        <w:rPr>
          <w:rFonts w:hint="eastAsia" w:asciiTheme="minorEastAsia" w:hAnsiTheme="minorEastAsia" w:eastAsiaTheme="minorEastAsia" w:cstheme="minorEastAsia"/>
          <w:i w:val="0"/>
          <w:iCs w:val="0"/>
          <w:sz w:val="24"/>
          <w:szCs w:val="24"/>
        </w:rPr>
        <w:t>11.《上海证券交易所债券自律监管规则适用指引第4号——公司债券和资产支持证券信用风险管理》、《深圳证券交易所公司债券存续期监管业务指引第3号——信用风险管理》和《北京证券交易所公司债券存续期监管业务指引第3号——信用风险管理》</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_Toc934786432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"_Toc1803427623" </w:instrText>
      </w:r>
      <w:r>
        <w:fldChar w:fldCharType="separate"/>
      </w:r>
      <w:r>
        <w:rPr>
          <w:rFonts w:hint="eastAsia" w:asciiTheme="minorEastAsia" w:hAnsiTheme="minorEastAsia" w:eastAsiaTheme="minorEastAsia" w:cstheme="minorEastAsia"/>
          <w:i w:val="0"/>
          <w:iCs w:val="0"/>
          <w:sz w:val="24"/>
          <w:szCs w:val="24"/>
        </w:rPr>
        <w:t>12.《公司债券受托管理人处置公司债券违约风险指引》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_Toc1803427623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"_Toc1205253587" </w:instrText>
      </w:r>
      <w:r>
        <w:fldChar w:fldCharType="separate"/>
      </w:r>
      <w:r>
        <w:rPr>
          <w:rFonts w:hint="eastAsia" w:asciiTheme="minorEastAsia" w:hAnsiTheme="minorEastAsia" w:eastAsiaTheme="minorEastAsia" w:cstheme="minorEastAsia"/>
          <w:b/>
          <w:bCs/>
          <w:sz w:val="24"/>
          <w:szCs w:val="24"/>
        </w:rPr>
        <w:t>（三）特种债券</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_Toc1205253587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"_Toc1292821666" </w:instrText>
      </w:r>
      <w:r>
        <w:fldChar w:fldCharType="separate"/>
      </w:r>
      <w:r>
        <w:rPr>
          <w:rFonts w:hint="eastAsia" w:asciiTheme="minorEastAsia" w:hAnsiTheme="minorEastAsia" w:eastAsiaTheme="minorEastAsia" w:cstheme="minorEastAsia"/>
          <w:i w:val="0"/>
          <w:iCs w:val="0"/>
          <w:sz w:val="24"/>
          <w:szCs w:val="24"/>
        </w:rPr>
        <w:t>1.《上海证券交易所公司债券发行上市审核规则适用指引第2号——专项品种公司债券》、《深圳证券交易所公司债券发行上市审核业务指引第7号——专项品种公司债券》及《北京证券交易所公司债券发行上市审核规则适用指引第2号——专项品种公司债券》</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_Toc1292821666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"_Toc1283814823" </w:instrText>
      </w:r>
      <w:r>
        <w:fldChar w:fldCharType="separate"/>
      </w:r>
      <w:r>
        <w:rPr>
          <w:rFonts w:hint="eastAsia" w:asciiTheme="minorEastAsia" w:hAnsiTheme="minorEastAsia" w:eastAsiaTheme="minorEastAsia" w:cstheme="minorEastAsia"/>
          <w:b/>
          <w:bCs/>
          <w:sz w:val="24"/>
          <w:szCs w:val="24"/>
        </w:rPr>
        <w:t>（四）资产证券化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_Toc1283814823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"_Toc1784153531" </w:instrText>
      </w:r>
      <w:r>
        <w:fldChar w:fldCharType="separate"/>
      </w:r>
      <w:r>
        <w:rPr>
          <w:rFonts w:hint="eastAsia" w:asciiTheme="minorEastAsia" w:hAnsiTheme="minorEastAsia" w:eastAsiaTheme="minorEastAsia" w:cstheme="minorEastAsia"/>
          <w:i w:val="0"/>
          <w:iCs w:val="0"/>
          <w:sz w:val="24"/>
          <w:szCs w:val="24"/>
        </w:rPr>
        <w:t>1.《证券公司及基金管理公司子公司资产证券化业务管理规定》及配套规则《证券公司及基金管理公司子公司资产证券化业务信息披露指引》《证券公司及基金管理公司子公司资产证券化业务尽职调查工作指引》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_Toc1784153531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"_Toc694408336" </w:instrText>
      </w:r>
      <w:r>
        <w:fldChar w:fldCharType="separate"/>
      </w:r>
      <w:r>
        <w:rPr>
          <w:rFonts w:hint="eastAsia" w:asciiTheme="minorEastAsia" w:hAnsiTheme="minorEastAsia" w:eastAsiaTheme="minorEastAsia" w:cstheme="minorEastAsia"/>
          <w:i w:val="0"/>
          <w:iCs w:val="0"/>
          <w:sz w:val="24"/>
          <w:szCs w:val="24"/>
        </w:rPr>
        <w:t>2.《上海证券交易所基础设施类资产支持证券信息披露指南》和《深圳证券交易所基础设施类资产支持证券信息披露指南》</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_Toc694408336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18</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spacing w:beforeLines="50" w:afterLines="50" w:line="360" w:lineRule="auto"/>
        <w:textAlignment w:val="auto"/>
        <w:rPr>
          <w:rFonts w:asciiTheme="minorEastAsia" w:hAnsiTheme="minorEastAsia" w:eastAsiaTheme="minorEastAsia" w:cstheme="minorEastAsia"/>
          <w:color w:val="000000"/>
          <w:sz w:val="28"/>
          <w:szCs w:val="28"/>
        </w:rPr>
      </w:pPr>
      <w:r>
        <w:fldChar w:fldCharType="begin"/>
      </w:r>
      <w:r>
        <w:instrText xml:space="preserve"> HYPERLINK \l "_Toc1900426831" </w:instrText>
      </w:r>
      <w:r>
        <w:fldChar w:fldCharType="separate"/>
      </w:r>
      <w:r>
        <w:rPr>
          <w:rFonts w:hint="eastAsia" w:asciiTheme="minorEastAsia" w:hAnsiTheme="minorEastAsia" w:eastAsiaTheme="minorEastAsia" w:cstheme="minorEastAsia"/>
          <w:color w:val="000000"/>
          <w:sz w:val="28"/>
          <w:szCs w:val="28"/>
          <w:lang w:val="zh-CN"/>
        </w:rPr>
        <w:t>第三部分 银行间债券市场</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PAGEREF _Toc1900426831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18</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"_Toc224305629" </w:instrText>
      </w:r>
      <w:r>
        <w:fldChar w:fldCharType="separate"/>
      </w:r>
      <w:r>
        <w:rPr>
          <w:rFonts w:hint="eastAsia" w:asciiTheme="minorEastAsia" w:hAnsiTheme="minorEastAsia" w:eastAsiaTheme="minorEastAsia" w:cstheme="minorEastAsia"/>
          <w:b/>
          <w:bCs/>
          <w:sz w:val="24"/>
          <w:szCs w:val="24"/>
        </w:rPr>
        <w:t>（一）评级业务管理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_Toc224305629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"_Toc1986814762" </w:instrText>
      </w:r>
      <w:r>
        <w:fldChar w:fldCharType="separate"/>
      </w:r>
      <w:r>
        <w:rPr>
          <w:rFonts w:hint="eastAsia" w:asciiTheme="minorEastAsia" w:hAnsiTheme="minorEastAsia" w:eastAsiaTheme="minorEastAsia" w:cstheme="minorEastAsia"/>
          <w:i w:val="0"/>
          <w:iCs w:val="0"/>
          <w:sz w:val="24"/>
          <w:szCs w:val="24"/>
        </w:rPr>
        <w:t>1.《信贷市场和银行间债券市场信用评级规范》</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_Toc1986814762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18</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"_Toc891975231" </w:instrText>
      </w:r>
      <w:r>
        <w:fldChar w:fldCharType="separate"/>
      </w:r>
      <w:r>
        <w:rPr>
          <w:rFonts w:hint="eastAsia" w:asciiTheme="minorEastAsia" w:hAnsiTheme="minorEastAsia" w:eastAsiaTheme="minorEastAsia" w:cstheme="minorEastAsia"/>
          <w:i w:val="0"/>
          <w:iCs w:val="0"/>
          <w:sz w:val="24"/>
          <w:szCs w:val="24"/>
        </w:rPr>
        <w:t>2.《关于加强银行间债券市场信用评级作业管理的通知》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_Toc891975231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19</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"_Toc1939180899" </w:instrText>
      </w:r>
      <w:r>
        <w:fldChar w:fldCharType="separate"/>
      </w:r>
      <w:r>
        <w:rPr>
          <w:rFonts w:hint="eastAsia" w:asciiTheme="minorEastAsia" w:hAnsiTheme="minorEastAsia" w:eastAsiaTheme="minorEastAsia" w:cstheme="minorEastAsia"/>
          <w:i w:val="0"/>
          <w:iCs w:val="0"/>
          <w:sz w:val="24"/>
          <w:szCs w:val="24"/>
        </w:rPr>
        <w:t>3.《中国人民银行公告〔2017〕第7号》</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_Toc1939180899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19</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"_Toc1104780859" </w:instrText>
      </w:r>
      <w:r>
        <w:fldChar w:fldCharType="separate"/>
      </w:r>
      <w:r>
        <w:rPr>
          <w:rFonts w:hint="eastAsia" w:asciiTheme="minorEastAsia" w:hAnsiTheme="minorEastAsia" w:eastAsiaTheme="minorEastAsia" w:cstheme="minorEastAsia"/>
          <w:i w:val="0"/>
          <w:iCs w:val="0"/>
          <w:sz w:val="24"/>
          <w:szCs w:val="24"/>
        </w:rPr>
        <w:t>4.《银行间债券市场信用评级业务自律指引》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_Toc1104780859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20</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"_Toc1227534421" </w:instrText>
      </w:r>
      <w:r>
        <w:fldChar w:fldCharType="separate"/>
      </w:r>
      <w:r>
        <w:rPr>
          <w:rFonts w:hint="eastAsia" w:asciiTheme="minorEastAsia" w:hAnsiTheme="minorEastAsia" w:eastAsiaTheme="minorEastAsia" w:cstheme="minorEastAsia"/>
          <w:i w:val="0"/>
          <w:iCs w:val="0"/>
          <w:sz w:val="24"/>
          <w:szCs w:val="24"/>
        </w:rPr>
        <w:t>5.《银行间债券市场信用评级业务信息披露指引》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_Toc1227534421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20</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"_Toc694615078" </w:instrText>
      </w:r>
      <w:r>
        <w:fldChar w:fldCharType="separate"/>
      </w:r>
      <w:r>
        <w:rPr>
          <w:rFonts w:hint="eastAsia" w:asciiTheme="minorEastAsia" w:hAnsiTheme="minorEastAsia" w:eastAsiaTheme="minorEastAsia" w:cstheme="minorEastAsia"/>
          <w:i w:val="0"/>
          <w:iCs w:val="0"/>
          <w:sz w:val="24"/>
          <w:szCs w:val="24"/>
        </w:rPr>
        <w:t>6.《银行间债券市场信用评级机构注册评价规则》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_Toc694615078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"_Toc1361326325" </w:instrText>
      </w:r>
      <w:r>
        <w:fldChar w:fldCharType="separate"/>
      </w:r>
      <w:r>
        <w:rPr>
          <w:rFonts w:hint="eastAsia" w:asciiTheme="minorEastAsia" w:hAnsiTheme="minorEastAsia" w:eastAsiaTheme="minorEastAsia" w:cstheme="minorEastAsia"/>
          <w:i w:val="0"/>
          <w:iCs w:val="0"/>
          <w:sz w:val="24"/>
          <w:szCs w:val="24"/>
        </w:rPr>
        <w:t>7.《银行间债券市场非金融企业债务融资工具中介服务规则（2020版）》</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_Toc1361326325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"_Toc17357598" </w:instrText>
      </w:r>
      <w:r>
        <w:fldChar w:fldCharType="separate"/>
      </w:r>
      <w:r>
        <w:rPr>
          <w:rFonts w:hint="eastAsia" w:asciiTheme="minorEastAsia" w:hAnsiTheme="minorEastAsia" w:eastAsiaTheme="minorEastAsia" w:cstheme="minorEastAsia"/>
          <w:b/>
          <w:bCs/>
          <w:sz w:val="24"/>
          <w:szCs w:val="24"/>
        </w:rPr>
        <w:t>（二）债券发行与交易</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_Toc17357598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"_Toc880113445" </w:instrText>
      </w:r>
      <w:r>
        <w:fldChar w:fldCharType="separate"/>
      </w:r>
      <w:r>
        <w:rPr>
          <w:rFonts w:hint="eastAsia" w:asciiTheme="minorEastAsia" w:hAnsiTheme="minorEastAsia" w:eastAsiaTheme="minorEastAsia" w:cstheme="minorEastAsia"/>
          <w:i w:val="0"/>
          <w:iCs w:val="0"/>
          <w:sz w:val="24"/>
          <w:szCs w:val="24"/>
        </w:rPr>
        <w:t>1.《银行间债券市场非金融企业债务融资工具管理办法》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_Toc880113445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"_Toc1069693642" </w:instrText>
      </w:r>
      <w:r>
        <w:fldChar w:fldCharType="separate"/>
      </w:r>
      <w:r>
        <w:rPr>
          <w:rFonts w:hint="eastAsia" w:asciiTheme="minorEastAsia" w:hAnsiTheme="minorEastAsia" w:eastAsiaTheme="minorEastAsia" w:cstheme="minorEastAsia"/>
          <w:i w:val="0"/>
          <w:iCs w:val="0"/>
          <w:sz w:val="24"/>
          <w:szCs w:val="24"/>
        </w:rPr>
        <w:t>2.《中国人民银行公告〔2021〕第11号》及《关于取消非金融企业债务融资工具信用评级要求有关事项的通知》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_Toc1069693642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"_Toc1756642214" </w:instrText>
      </w:r>
      <w:r>
        <w:fldChar w:fldCharType="separate"/>
      </w:r>
      <w:r>
        <w:rPr>
          <w:rFonts w:hint="eastAsia" w:asciiTheme="minorEastAsia" w:hAnsiTheme="minorEastAsia" w:eastAsiaTheme="minorEastAsia" w:cstheme="minorEastAsia"/>
          <w:i w:val="0"/>
          <w:iCs w:val="0"/>
          <w:sz w:val="24"/>
          <w:szCs w:val="24"/>
        </w:rPr>
        <w:t>3.《全国银行间债券市场金融债券发行管理办法》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_Toc1756642214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"_Toc1722275902" </w:instrText>
      </w:r>
      <w:r>
        <w:fldChar w:fldCharType="separate"/>
      </w:r>
      <w:r>
        <w:rPr>
          <w:rFonts w:hint="eastAsia" w:asciiTheme="minorEastAsia" w:hAnsiTheme="minorEastAsia" w:eastAsiaTheme="minorEastAsia" w:cstheme="minorEastAsia"/>
          <w:i w:val="0"/>
          <w:iCs w:val="0"/>
          <w:sz w:val="24"/>
          <w:szCs w:val="24"/>
        </w:rPr>
        <w:t>4.《证券公司短期融资券管理办法》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_Toc1722275902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"_Toc726320696" </w:instrText>
      </w:r>
      <w:r>
        <w:fldChar w:fldCharType="separate"/>
      </w:r>
      <w:r>
        <w:rPr>
          <w:rFonts w:hint="eastAsia" w:asciiTheme="minorEastAsia" w:hAnsiTheme="minorEastAsia" w:eastAsiaTheme="minorEastAsia" w:cstheme="minorEastAsia"/>
          <w:i w:val="0"/>
          <w:iCs w:val="0"/>
          <w:sz w:val="24"/>
          <w:szCs w:val="24"/>
        </w:rPr>
        <w:t>5.《商业银行次级债券发行管理办法》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_Toc726320696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"_Toc699332513" </w:instrText>
      </w:r>
      <w:r>
        <w:fldChar w:fldCharType="separate"/>
      </w:r>
      <w:r>
        <w:rPr>
          <w:rFonts w:hint="eastAsia" w:asciiTheme="minorEastAsia" w:hAnsiTheme="minorEastAsia" w:eastAsiaTheme="minorEastAsia" w:cstheme="minorEastAsia"/>
          <w:i w:val="0"/>
          <w:iCs w:val="0"/>
          <w:sz w:val="24"/>
          <w:szCs w:val="24"/>
        </w:rPr>
        <w:t>6.《信贷资产证券化试点管理办法》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_Toc699332513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"_Toc1725074820" </w:instrText>
      </w:r>
      <w:r>
        <w:fldChar w:fldCharType="separate"/>
      </w:r>
      <w:r>
        <w:rPr>
          <w:rFonts w:hint="eastAsia" w:asciiTheme="minorEastAsia" w:hAnsiTheme="minorEastAsia" w:eastAsiaTheme="minorEastAsia" w:cstheme="minorEastAsia"/>
          <w:i w:val="0"/>
          <w:iCs w:val="0"/>
          <w:sz w:val="24"/>
          <w:szCs w:val="24"/>
        </w:rPr>
        <w:t>7.《全国银行间债券市场境外机构债券发行管理暂行办法》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_Toc1725074820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"_Toc1941304704" </w:instrText>
      </w:r>
      <w:r>
        <w:fldChar w:fldCharType="separate"/>
      </w:r>
      <w:r>
        <w:rPr>
          <w:rFonts w:hint="eastAsia" w:asciiTheme="minorEastAsia" w:hAnsiTheme="minorEastAsia" w:eastAsiaTheme="minorEastAsia" w:cstheme="minorEastAsia"/>
          <w:i w:val="0"/>
          <w:iCs w:val="0"/>
          <w:sz w:val="24"/>
          <w:szCs w:val="24"/>
        </w:rPr>
        <w:t>8.交易商协会关于非金融企业超短期融资券、短期融资券、中期票据、资产支持票据、项目收益票据、绿色债务融资工具等业务指引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_Toc1941304704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"_Toc440009495" </w:instrText>
      </w:r>
      <w:r>
        <w:fldChar w:fldCharType="separate"/>
      </w:r>
      <w:r>
        <w:rPr>
          <w:rFonts w:hint="eastAsia" w:asciiTheme="minorEastAsia" w:hAnsiTheme="minorEastAsia" w:eastAsiaTheme="minorEastAsia" w:cstheme="minorEastAsia"/>
          <w:i w:val="0"/>
          <w:iCs w:val="0"/>
          <w:sz w:val="24"/>
          <w:szCs w:val="24"/>
        </w:rPr>
        <w:t>9.《银行间债券市场非金融企业债务融资工具信息披露规则》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_Toc440009495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8"/>
          <w:szCs w:val="28"/>
        </w:rPr>
      </w:pPr>
      <w:r>
        <w:fldChar w:fldCharType="begin"/>
      </w:r>
      <w:r>
        <w:instrText xml:space="preserve"> HYPERLINK \l "_Toc1507873699" </w:instrText>
      </w:r>
      <w:r>
        <w:fldChar w:fldCharType="separate"/>
      </w:r>
      <w:r>
        <w:rPr>
          <w:rFonts w:hint="eastAsia" w:asciiTheme="minorEastAsia" w:hAnsiTheme="minorEastAsia" w:eastAsiaTheme="minorEastAsia" w:cstheme="minorEastAsia"/>
          <w:bCs w:val="0"/>
          <w:sz w:val="28"/>
          <w:szCs w:val="28"/>
          <w:lang w:val="zh-CN"/>
        </w:rPr>
        <w:t>第四部分 政府性债务及保险资金投资债券</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_Toc1507873699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"_Toc1849833184" </w:instrText>
      </w:r>
      <w:r>
        <w:fldChar w:fldCharType="separate"/>
      </w:r>
      <w:r>
        <w:rPr>
          <w:rFonts w:hint="eastAsia" w:asciiTheme="minorEastAsia" w:hAnsiTheme="minorEastAsia" w:eastAsiaTheme="minorEastAsia" w:cstheme="minorEastAsia"/>
          <w:b/>
          <w:bCs/>
          <w:i w:val="0"/>
          <w:iCs w:val="0"/>
          <w:sz w:val="24"/>
          <w:szCs w:val="24"/>
        </w:rPr>
        <w:t>（一）政府性债务</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_Toc1849833184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"_Toc1779888749" </w:instrText>
      </w:r>
      <w:r>
        <w:fldChar w:fldCharType="separate"/>
      </w:r>
      <w:r>
        <w:rPr>
          <w:rFonts w:hint="eastAsia" w:asciiTheme="minorEastAsia" w:hAnsiTheme="minorEastAsia" w:eastAsiaTheme="minorEastAsia" w:cstheme="minorEastAsia"/>
          <w:i w:val="0"/>
          <w:iCs w:val="0"/>
          <w:sz w:val="24"/>
          <w:szCs w:val="24"/>
        </w:rPr>
        <w:t>1.《国务院关于加强地方政府性债务管理的意见》</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_Toc1779888749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"_Toc1567652656" </w:instrText>
      </w:r>
      <w:r>
        <w:fldChar w:fldCharType="separate"/>
      </w:r>
      <w:r>
        <w:rPr>
          <w:rFonts w:hint="eastAsia" w:asciiTheme="minorEastAsia" w:hAnsiTheme="minorEastAsia" w:eastAsiaTheme="minorEastAsia" w:cstheme="minorEastAsia"/>
          <w:i w:val="0"/>
          <w:iCs w:val="0"/>
          <w:sz w:val="24"/>
          <w:szCs w:val="24"/>
        </w:rPr>
        <w:t>2.《关于进一步规范地方政府举债融资行为的通知》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_Toc1567652656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"_Toc1380859670" </w:instrText>
      </w:r>
      <w:r>
        <w:fldChar w:fldCharType="separate"/>
      </w:r>
      <w:r>
        <w:rPr>
          <w:rFonts w:hint="eastAsia" w:asciiTheme="minorEastAsia" w:hAnsiTheme="minorEastAsia" w:eastAsiaTheme="minorEastAsia" w:cstheme="minorEastAsia"/>
          <w:i w:val="0"/>
          <w:iCs w:val="0"/>
          <w:sz w:val="24"/>
          <w:szCs w:val="24"/>
        </w:rPr>
        <w:t>3.《地方政府债券信用评级管理暂行办法》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_Toc1380859670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"_Toc567191533" </w:instrText>
      </w:r>
      <w:r>
        <w:fldChar w:fldCharType="separate"/>
      </w:r>
      <w:r>
        <w:rPr>
          <w:rFonts w:hint="eastAsia" w:asciiTheme="minorEastAsia" w:hAnsiTheme="minorEastAsia" w:eastAsiaTheme="minorEastAsia" w:cstheme="minorEastAsia"/>
          <w:i w:val="0"/>
          <w:iCs w:val="0"/>
          <w:sz w:val="24"/>
          <w:szCs w:val="24"/>
        </w:rPr>
        <w:t>4.《地方政府债券发行管理办法》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_Toc567191533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4"/>
          <w:szCs w:val="24"/>
        </w:rPr>
      </w:pPr>
      <w:r>
        <w:fldChar w:fldCharType="begin"/>
      </w:r>
      <w:r>
        <w:instrText xml:space="preserve"> HYPERLINK \l "_Toc1223596631" </w:instrText>
      </w:r>
      <w:r>
        <w:fldChar w:fldCharType="separate"/>
      </w:r>
      <w:r>
        <w:rPr>
          <w:rFonts w:hint="eastAsia" w:asciiTheme="minorEastAsia" w:hAnsiTheme="minorEastAsia" w:eastAsiaTheme="minorEastAsia" w:cstheme="minorEastAsia"/>
          <w:b/>
          <w:bCs/>
          <w:sz w:val="24"/>
          <w:szCs w:val="24"/>
        </w:rPr>
        <w:t>（二）保险资金投资债券</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_Toc1223596631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"_Toc438629609" </w:instrText>
      </w:r>
      <w:r>
        <w:fldChar w:fldCharType="separate"/>
      </w:r>
      <w:r>
        <w:rPr>
          <w:rFonts w:hint="eastAsia" w:asciiTheme="minorEastAsia" w:hAnsiTheme="minorEastAsia" w:eastAsiaTheme="minorEastAsia" w:cstheme="minorEastAsia"/>
          <w:i w:val="0"/>
          <w:iCs w:val="0"/>
          <w:sz w:val="24"/>
          <w:szCs w:val="24"/>
        </w:rPr>
        <w:t>1.《保险资金投资债券暂行办法》</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_Toc438629609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"_Toc1860013199" </w:instrText>
      </w:r>
      <w:r>
        <w:fldChar w:fldCharType="separate"/>
      </w:r>
      <w:r>
        <w:rPr>
          <w:rFonts w:hint="eastAsia" w:asciiTheme="minorEastAsia" w:hAnsiTheme="minorEastAsia" w:eastAsiaTheme="minorEastAsia" w:cstheme="minorEastAsia"/>
          <w:i w:val="0"/>
          <w:iCs w:val="0"/>
          <w:sz w:val="24"/>
          <w:szCs w:val="24"/>
        </w:rPr>
        <w:t>2.《关于加强保险资金投资债券使用外部信用评级监管的通知》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_Toc1860013199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i w:val="0"/>
          <w:iCs w:val="0"/>
          <w:sz w:val="24"/>
          <w:szCs w:val="24"/>
        </w:rPr>
      </w:pPr>
      <w:r>
        <w:fldChar w:fldCharType="begin"/>
      </w:r>
      <w:r>
        <w:instrText xml:space="preserve"> HYPERLINK \l "_Toc359927806" </w:instrText>
      </w:r>
      <w:r>
        <w:fldChar w:fldCharType="separate"/>
      </w:r>
      <w:r>
        <w:rPr>
          <w:rFonts w:hint="eastAsia" w:asciiTheme="minorEastAsia" w:hAnsiTheme="minorEastAsia" w:eastAsiaTheme="minorEastAsia" w:cstheme="minorEastAsia"/>
          <w:i w:val="0"/>
          <w:iCs w:val="0"/>
          <w:sz w:val="24"/>
          <w:szCs w:val="24"/>
        </w:rPr>
        <w:t>3.《中国银保监会办公厅关于调整保险资金投资债券信用评级要求等有关事项的通知》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_Toc359927806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fldChar w:fldCharType="begin"/>
      </w:r>
      <w:r>
        <w:instrText xml:space="preserve"> HYPERLINK \l "_Toc75299493" </w:instrText>
      </w:r>
      <w:r>
        <w:fldChar w:fldCharType="separate"/>
      </w:r>
      <w:r>
        <w:rPr>
          <w:rFonts w:hint="eastAsia" w:asciiTheme="minorEastAsia" w:hAnsiTheme="minorEastAsia" w:eastAsiaTheme="minorEastAsia" w:cstheme="minorEastAsia"/>
          <w:i w:val="0"/>
          <w:iCs w:val="0"/>
          <w:sz w:val="24"/>
          <w:szCs w:val="24"/>
        </w:rPr>
        <w:t>4.《中国保险资产管理业协会信用评级机构自律规则（试行）》</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_Toc75299493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sz w:val="24"/>
          <w:szCs w:val="24"/>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end"/>
      </w:r>
    </w:p>
    <w:p>
      <w:pPr>
        <w:pStyle w:val="2"/>
        <w:keepLines w:val="0"/>
        <w:spacing w:beforeLines="100" w:afterLines="100" w:line="240" w:lineRule="auto"/>
        <w:ind w:firstLine="592" w:firstLineChars="246"/>
        <w:jc w:val="center"/>
        <w:rPr>
          <w:rFonts w:asciiTheme="minorEastAsia" w:hAnsiTheme="minorEastAsia" w:eastAsiaTheme="minorEastAsia" w:cstheme="minorEastAsia"/>
          <w:bCs w:val="0"/>
          <w:kern w:val="2"/>
          <w:sz w:val="24"/>
          <w:szCs w:val="24"/>
          <w:lang w:val="zh-CN"/>
        </w:rPr>
        <w:sectPr>
          <w:pgSz w:w="11906" w:h="16838"/>
          <w:pgMar w:top="1440" w:right="1800" w:bottom="1440" w:left="1800" w:header="851" w:footer="992" w:gutter="0"/>
          <w:cols w:space="0" w:num="1"/>
          <w:docGrid w:type="lines" w:linePitch="312" w:charSpace="0"/>
        </w:sectPr>
      </w:pPr>
      <w:bookmarkStart w:id="0" w:name="_Toc4505"/>
    </w:p>
    <w:p>
      <w:pPr>
        <w:pStyle w:val="2"/>
        <w:keepLines w:val="0"/>
        <w:spacing w:beforeLines="100" w:afterLines="100" w:line="240" w:lineRule="auto"/>
        <w:jc w:val="center"/>
        <w:rPr>
          <w:rFonts w:ascii="Courier New" w:hAnsi="Courier New" w:eastAsia="华文中宋"/>
          <w:b w:val="0"/>
          <w:sz w:val="30"/>
          <w:szCs w:val="32"/>
          <w:lang w:val="zh-CN"/>
        </w:rPr>
      </w:pPr>
      <w:bookmarkStart w:id="1" w:name="_Toc23215"/>
      <w:bookmarkStart w:id="2" w:name="_Toc1419032207"/>
      <w:bookmarkStart w:id="3" w:name="_Toc1522257293"/>
      <w:bookmarkStart w:id="4" w:name="_Toc110431083"/>
      <w:bookmarkStart w:id="5" w:name="_Toc1610081174"/>
      <w:bookmarkStart w:id="6" w:name="_Toc601747635"/>
      <w:bookmarkStart w:id="7" w:name="_Toc994417981"/>
      <w:bookmarkStart w:id="8" w:name="_Toc13882"/>
      <w:r>
        <w:rPr>
          <w:rFonts w:hint="eastAsia" w:ascii="Courier New" w:hAnsi="Courier New" w:eastAsia="华文中宋"/>
          <w:bCs w:val="0"/>
          <w:kern w:val="2"/>
          <w:sz w:val="30"/>
          <w:szCs w:val="32"/>
          <w:lang w:val="zh-CN"/>
        </w:rPr>
        <w:t>第一部分党中央、国务院重大决策部署及综合性法规</w:t>
      </w:r>
      <w:bookmarkEnd w:id="0"/>
      <w:bookmarkEnd w:id="1"/>
      <w:bookmarkEnd w:id="2"/>
      <w:bookmarkEnd w:id="3"/>
      <w:bookmarkEnd w:id="4"/>
      <w:bookmarkEnd w:id="5"/>
      <w:bookmarkEnd w:id="6"/>
      <w:bookmarkEnd w:id="7"/>
      <w:bookmarkEnd w:id="8"/>
    </w:p>
    <w:p>
      <w:pPr>
        <w:pStyle w:val="3"/>
        <w:ind w:firstLine="602"/>
        <w:rPr>
          <w:rFonts w:ascii="宋体" w:hAnsi="宋体"/>
          <w:szCs w:val="36"/>
        </w:rPr>
      </w:pPr>
      <w:bookmarkStart w:id="9" w:name="_Toc1430064188"/>
      <w:bookmarkStart w:id="10" w:name="_Toc221840985"/>
      <w:bookmarkStart w:id="11" w:name="_Toc1143237149"/>
      <w:bookmarkStart w:id="12" w:name="_Toc274313690"/>
      <w:bookmarkStart w:id="13" w:name="_Toc1360508529"/>
      <w:bookmarkStart w:id="14" w:name="_Toc17908"/>
      <w:bookmarkStart w:id="15" w:name="_Toc110431084"/>
      <w:bookmarkStart w:id="16" w:name="_Toc992"/>
      <w:bookmarkStart w:id="17" w:name="_Toc3059"/>
      <w:r>
        <w:rPr>
          <w:rFonts w:hint="eastAsia" w:ascii="宋体" w:hAnsi="宋体"/>
          <w:szCs w:val="36"/>
        </w:rPr>
        <w:t>（一）党中央、国务院重大决策部署</w:t>
      </w:r>
      <w:bookmarkEnd w:id="9"/>
      <w:bookmarkEnd w:id="10"/>
      <w:bookmarkEnd w:id="11"/>
      <w:bookmarkEnd w:id="12"/>
      <w:bookmarkEnd w:id="13"/>
    </w:p>
    <w:p>
      <w:pPr>
        <w:pStyle w:val="4"/>
        <w:spacing w:line="240" w:lineRule="auto"/>
        <w:ind w:firstLine="602"/>
        <w:rPr>
          <w:rFonts w:ascii="仿宋_GB2312" w:hAnsi="仿宋_GB2312" w:cs="仿宋_GB2312"/>
          <w:bCs w:val="0"/>
          <w:szCs w:val="22"/>
        </w:rPr>
      </w:pPr>
      <w:bookmarkStart w:id="18" w:name="_Toc1065136269"/>
      <w:bookmarkStart w:id="19" w:name="_Toc52764723"/>
      <w:bookmarkStart w:id="20" w:name="_Toc715900841"/>
      <w:bookmarkStart w:id="21" w:name="_Toc20938101"/>
      <w:bookmarkStart w:id="22" w:name="_Toc1599305499"/>
      <w:r>
        <w:rPr>
          <w:rFonts w:hint="eastAsia" w:ascii="仿宋_GB2312" w:hAnsi="仿宋_GB2312" w:cs="仿宋_GB2312"/>
          <w:bCs w:val="0"/>
          <w:szCs w:val="22"/>
        </w:rPr>
        <w:t>1.习近平</w:t>
      </w:r>
      <w:r>
        <w:rPr>
          <w:rFonts w:hint="eastAsia" w:ascii="仿宋_GB2312" w:hAnsi="仿宋_GB2312" w:cs="仿宋_GB2312"/>
          <w:bCs w:val="0"/>
          <w:szCs w:val="22"/>
          <w:lang w:eastAsia="zh-CN"/>
        </w:rPr>
        <w:t>总书记</w:t>
      </w:r>
      <w:r>
        <w:rPr>
          <w:rFonts w:hint="eastAsia" w:ascii="仿宋_GB2312" w:hAnsi="仿宋_GB2312" w:cs="仿宋_GB2312"/>
          <w:bCs w:val="0"/>
          <w:szCs w:val="22"/>
        </w:rPr>
        <w:t>关于金融工作的重要论述</w:t>
      </w:r>
      <w:bookmarkEnd w:id="18"/>
      <w:bookmarkEnd w:id="19"/>
      <w:bookmarkEnd w:id="20"/>
      <w:bookmarkEnd w:id="21"/>
      <w:bookmarkEnd w:id="22"/>
    </w:p>
    <w:p>
      <w:pPr>
        <w:ind w:firstLine="600"/>
        <w:rPr>
          <w:rFonts w:ascii="Times New Roman" w:eastAsia="仿宋_GB2312"/>
          <w:color w:val="000000"/>
          <w:sz w:val="30"/>
          <w:szCs w:val="30"/>
        </w:rPr>
      </w:pPr>
      <w:bookmarkStart w:id="23" w:name="_Toc315350512"/>
      <w:r>
        <w:rPr>
          <w:rFonts w:ascii="Times New Roman" w:eastAsia="仿宋_GB2312"/>
          <w:color w:val="000000"/>
          <w:sz w:val="30"/>
          <w:szCs w:val="30"/>
        </w:rPr>
        <w:t>掌握关于推进金融高质量发展、加快建设金融强国的论述；掌握关于坚持党中央对金融工作集中统一领导的论述；掌握关于坚持以人民为中心的价值取向的论述；掌握关于坚持把金融服务实体经济作为根本宗旨的论述；掌握关于坚持把防控风险作为金融工作永恒主题的论述；掌握关于坚持在市场化法治化轨道上推进金融创新发展的论述；掌握关于坚持深化金融供给侧结构性改革的论述；掌握关于坚持统筹金融开放和安全的论述；掌握</w:t>
      </w:r>
      <w:r>
        <w:rPr>
          <w:rFonts w:hint="eastAsia" w:ascii="Times New Roman" w:eastAsia="仿宋_GB2312"/>
          <w:color w:val="000000"/>
          <w:sz w:val="30"/>
          <w:szCs w:val="30"/>
          <w:lang w:eastAsia="zh-CN"/>
        </w:rPr>
        <w:t>关于</w:t>
      </w:r>
      <w:r>
        <w:rPr>
          <w:rFonts w:ascii="Times New Roman" w:eastAsia="仿宋_GB2312"/>
          <w:color w:val="000000"/>
          <w:sz w:val="30"/>
          <w:szCs w:val="30"/>
        </w:rPr>
        <w:t>坚持稳中求进工作总基调的论述；掌握</w:t>
      </w:r>
      <w:r>
        <w:rPr>
          <w:rFonts w:hint="eastAsia" w:ascii="Times New Roman" w:eastAsia="仿宋_GB2312"/>
          <w:color w:val="000000"/>
          <w:sz w:val="30"/>
          <w:szCs w:val="30"/>
          <w:lang w:eastAsia="zh-CN"/>
        </w:rPr>
        <w:t>关于</w:t>
      </w:r>
      <w:r>
        <w:rPr>
          <w:rFonts w:ascii="Times New Roman" w:eastAsia="仿宋_GB2312"/>
          <w:color w:val="000000"/>
          <w:sz w:val="30"/>
          <w:szCs w:val="30"/>
        </w:rPr>
        <w:t>积极培育中国特色金融文化的论述。</w:t>
      </w:r>
      <w:bookmarkEnd w:id="23"/>
    </w:p>
    <w:p>
      <w:pPr>
        <w:pStyle w:val="4"/>
        <w:spacing w:line="240" w:lineRule="auto"/>
        <w:ind w:firstLine="602"/>
        <w:rPr>
          <w:rFonts w:ascii="仿宋_GB2312" w:hAnsi="仿宋_GB2312" w:cs="仿宋_GB2312"/>
          <w:bCs w:val="0"/>
          <w:szCs w:val="22"/>
        </w:rPr>
      </w:pPr>
      <w:bookmarkStart w:id="24" w:name="_Toc516024426"/>
      <w:bookmarkStart w:id="25" w:name="_Toc1777645610"/>
      <w:bookmarkStart w:id="26" w:name="_Toc801977791"/>
      <w:bookmarkStart w:id="27" w:name="_Toc1979631313"/>
      <w:bookmarkStart w:id="28" w:name="_Toc2093082618"/>
      <w:r>
        <w:rPr>
          <w:rFonts w:hint="eastAsia" w:ascii="仿宋_GB2312" w:hAnsi="仿宋_GB2312" w:cs="仿宋_GB2312"/>
          <w:bCs w:val="0"/>
          <w:szCs w:val="22"/>
        </w:rPr>
        <w:t>2.《国务院关于加强监管防范风险推动资本市场高质量发展的若干意见》（国发〔2024〕10号）</w:t>
      </w:r>
      <w:bookmarkEnd w:id="24"/>
      <w:bookmarkEnd w:id="25"/>
      <w:bookmarkEnd w:id="26"/>
      <w:bookmarkEnd w:id="27"/>
      <w:bookmarkEnd w:id="28"/>
    </w:p>
    <w:p>
      <w:pPr>
        <w:ind w:firstLine="600"/>
        <w:rPr>
          <w:rFonts w:ascii="Times New Roman" w:eastAsia="仿宋_GB2312"/>
          <w:color w:val="000000"/>
          <w:sz w:val="30"/>
          <w:szCs w:val="30"/>
        </w:rPr>
      </w:pPr>
      <w:bookmarkStart w:id="29" w:name="_Toc532263"/>
      <w:r>
        <w:rPr>
          <w:rFonts w:hint="eastAsia" w:ascii="Times New Roman" w:eastAsia="仿宋_GB2312"/>
          <w:color w:val="000000"/>
          <w:sz w:val="30"/>
          <w:szCs w:val="30"/>
        </w:rPr>
        <w:t>掌握推动资本市场高质量发展的总体要求；熟悉严把发行上市准入关、严格上市公司持续监管、加大退市力度的指导意见；熟悉推动行业回归本源、做优做强、增强资本市场内在稳定性的指导意见；熟悉推动中长期资金入市、进一步全面深化改革开放、形成促进资本市场高质量发展合力的指导意见。</w:t>
      </w:r>
      <w:bookmarkEnd w:id="29"/>
    </w:p>
    <w:p>
      <w:pPr>
        <w:pStyle w:val="4"/>
        <w:spacing w:line="240" w:lineRule="auto"/>
        <w:ind w:firstLine="602"/>
        <w:rPr>
          <w:rFonts w:ascii="仿宋_GB2312" w:hAnsi="仿宋_GB2312" w:cs="仿宋_GB2312"/>
          <w:bCs w:val="0"/>
          <w:szCs w:val="22"/>
        </w:rPr>
      </w:pPr>
      <w:bookmarkStart w:id="30" w:name="_Toc1040496264"/>
      <w:bookmarkStart w:id="31" w:name="_Toc715932235"/>
      <w:bookmarkStart w:id="32" w:name="_Toc183041305"/>
      <w:bookmarkStart w:id="33" w:name="_Toc656664090"/>
      <w:bookmarkStart w:id="34" w:name="_Toc406067602"/>
      <w:r>
        <w:rPr>
          <w:rFonts w:hint="eastAsia" w:ascii="仿宋_GB2312" w:hAnsi="仿宋_GB2312" w:cs="仿宋_GB2312"/>
          <w:bCs w:val="0"/>
          <w:szCs w:val="22"/>
        </w:rPr>
        <w:t>3.《关于依法从严打击证券违法活动的意见》（中共中央办公厅 国务院办公厅2021年7月6日印发）</w:t>
      </w:r>
      <w:bookmarkEnd w:id="30"/>
      <w:bookmarkEnd w:id="31"/>
      <w:bookmarkEnd w:id="32"/>
      <w:bookmarkEnd w:id="33"/>
      <w:bookmarkEnd w:id="34"/>
    </w:p>
    <w:p>
      <w:pPr>
        <w:ind w:firstLine="600" w:firstLineChars="200"/>
        <w:rPr>
          <w:rFonts w:ascii="Times New Roman" w:eastAsia="仿宋_GB2312"/>
          <w:color w:val="000000"/>
          <w:sz w:val="30"/>
          <w:szCs w:val="30"/>
        </w:rPr>
      </w:pPr>
      <w:r>
        <w:rPr>
          <w:rFonts w:ascii="Times New Roman" w:eastAsia="仿宋_GB2312"/>
          <w:color w:val="000000"/>
          <w:sz w:val="30"/>
          <w:szCs w:val="30"/>
        </w:rPr>
        <w:t>了解依法从严打击证券违法活动的总体要求；了解完善资本市场违法犯罪法律责任制度体系的主要内容；熟悉强化重大证券违法犯罪案件惩治和重点领域执法的主要内容；掌握加强资本市场信用体系建设的主要内容。</w:t>
      </w:r>
    </w:p>
    <w:p>
      <w:pPr>
        <w:pStyle w:val="3"/>
        <w:ind w:firstLine="602"/>
        <w:rPr>
          <w:rFonts w:ascii="宋体" w:hAnsi="宋体"/>
          <w:szCs w:val="36"/>
        </w:rPr>
      </w:pPr>
      <w:bookmarkStart w:id="35" w:name="_Toc9555468"/>
      <w:bookmarkStart w:id="36" w:name="_Toc1166166910"/>
      <w:bookmarkStart w:id="37" w:name="_Toc1331699991"/>
      <w:bookmarkStart w:id="38" w:name="_Toc2095743385"/>
      <w:bookmarkStart w:id="39" w:name="_Toc1719025089"/>
      <w:r>
        <w:rPr>
          <w:rFonts w:hint="eastAsia" w:ascii="宋体" w:hAnsi="宋体"/>
          <w:szCs w:val="36"/>
        </w:rPr>
        <w:t>（二）法律</w:t>
      </w:r>
      <w:bookmarkEnd w:id="14"/>
      <w:bookmarkEnd w:id="15"/>
      <w:bookmarkEnd w:id="16"/>
      <w:r>
        <w:rPr>
          <w:rFonts w:hint="eastAsia" w:ascii="宋体" w:hAnsi="宋体"/>
          <w:szCs w:val="36"/>
        </w:rPr>
        <w:t>及行政法规</w:t>
      </w:r>
      <w:bookmarkEnd w:id="17"/>
      <w:bookmarkEnd w:id="35"/>
      <w:bookmarkEnd w:id="36"/>
      <w:bookmarkEnd w:id="37"/>
      <w:bookmarkEnd w:id="38"/>
      <w:bookmarkEnd w:id="39"/>
    </w:p>
    <w:p>
      <w:pPr>
        <w:pStyle w:val="4"/>
        <w:spacing w:line="240" w:lineRule="auto"/>
        <w:ind w:firstLine="602"/>
        <w:rPr>
          <w:rFonts w:ascii="仿宋_GB2312" w:hAnsi="仿宋_GB2312" w:cs="仿宋_GB2312"/>
          <w:bCs w:val="0"/>
          <w:szCs w:val="22"/>
        </w:rPr>
      </w:pPr>
      <w:bookmarkStart w:id="40" w:name="_Toc28440"/>
      <w:bookmarkStart w:id="41" w:name="_Toc28950"/>
      <w:bookmarkStart w:id="42" w:name="_Toc110431085"/>
      <w:bookmarkStart w:id="43" w:name="_Toc3246"/>
      <w:bookmarkStart w:id="44" w:name="_Toc180618999"/>
      <w:bookmarkStart w:id="45" w:name="_Toc1968650650"/>
      <w:bookmarkStart w:id="46" w:name="_Toc2094711057"/>
      <w:bookmarkStart w:id="47" w:name="_Toc704724917"/>
      <w:bookmarkStart w:id="48" w:name="_Toc1498372978"/>
      <w:r>
        <w:rPr>
          <w:rFonts w:hint="eastAsia" w:ascii="仿宋_GB2312" w:hAnsi="仿宋_GB2312" w:cs="仿宋_GB2312"/>
          <w:bCs w:val="0"/>
          <w:szCs w:val="22"/>
        </w:rPr>
        <w:t>1.《中华人民共和国公司法》</w:t>
      </w:r>
      <w:bookmarkEnd w:id="40"/>
      <w:bookmarkEnd w:id="41"/>
      <w:bookmarkEnd w:id="42"/>
      <w:r>
        <w:rPr>
          <w:rFonts w:hint="eastAsia" w:ascii="仿宋_GB2312" w:hAnsi="仿宋_GB2312" w:cs="仿宋_GB2312"/>
          <w:bCs w:val="0"/>
          <w:szCs w:val="22"/>
        </w:rPr>
        <w:t>（1993年12月29日公布，2023年12月29日最新修订，2024年7月1日起施行）</w:t>
      </w:r>
      <w:bookmarkEnd w:id="43"/>
      <w:bookmarkEnd w:id="44"/>
      <w:bookmarkEnd w:id="45"/>
      <w:bookmarkEnd w:id="46"/>
      <w:bookmarkEnd w:id="47"/>
      <w:bookmarkEnd w:id="48"/>
    </w:p>
    <w:p>
      <w:pPr>
        <w:ind w:firstLine="600" w:firstLineChars="200"/>
        <w:rPr>
          <w:rFonts w:ascii="Times New Roman" w:eastAsia="仿宋_GB2312"/>
          <w:color w:val="000000"/>
          <w:sz w:val="30"/>
          <w:szCs w:val="30"/>
        </w:rPr>
      </w:pPr>
      <w:r>
        <w:rPr>
          <w:rFonts w:ascii="Times New Roman" w:eastAsia="仿宋_GB2312"/>
          <w:color w:val="000000"/>
          <w:sz w:val="30"/>
          <w:szCs w:val="30"/>
        </w:rPr>
        <w:t>掌握公司种类</w:t>
      </w:r>
      <w:r>
        <w:rPr>
          <w:rFonts w:hint="eastAsia" w:ascii="Times New Roman" w:eastAsia="仿宋_GB2312"/>
          <w:color w:val="000000"/>
          <w:sz w:val="30"/>
          <w:szCs w:val="30"/>
        </w:rPr>
        <w:t>；</w:t>
      </w:r>
      <w:r>
        <w:rPr>
          <w:rFonts w:ascii="Times New Roman" w:eastAsia="仿宋_GB2312"/>
          <w:color w:val="000000"/>
          <w:sz w:val="30"/>
          <w:szCs w:val="30"/>
        </w:rPr>
        <w:t>熟悉公司股东权利的内容</w:t>
      </w:r>
      <w:r>
        <w:rPr>
          <w:rFonts w:hint="eastAsia" w:ascii="Times New Roman" w:eastAsia="仿宋_GB2312"/>
          <w:color w:val="000000"/>
          <w:sz w:val="30"/>
          <w:szCs w:val="30"/>
        </w:rPr>
        <w:t>；</w:t>
      </w:r>
      <w:r>
        <w:rPr>
          <w:rFonts w:ascii="Times New Roman" w:eastAsia="仿宋_GB2312"/>
          <w:color w:val="000000"/>
          <w:sz w:val="30"/>
          <w:szCs w:val="30"/>
        </w:rPr>
        <w:t>熟悉公司法人财产权概念</w:t>
      </w:r>
      <w:r>
        <w:rPr>
          <w:rFonts w:hint="eastAsia" w:ascii="Times New Roman" w:eastAsia="仿宋_GB2312"/>
          <w:color w:val="000000"/>
          <w:sz w:val="30"/>
          <w:szCs w:val="30"/>
        </w:rPr>
        <w:t>；</w:t>
      </w:r>
      <w:r>
        <w:rPr>
          <w:rFonts w:ascii="Times New Roman" w:eastAsia="仿宋_GB2312"/>
          <w:color w:val="000000"/>
          <w:sz w:val="30"/>
          <w:szCs w:val="30"/>
        </w:rPr>
        <w:t>熟悉关于公司经营原则的规定</w:t>
      </w:r>
      <w:r>
        <w:rPr>
          <w:rFonts w:hint="eastAsia" w:ascii="Times New Roman" w:eastAsia="仿宋_GB2312"/>
          <w:color w:val="000000"/>
          <w:sz w:val="30"/>
          <w:szCs w:val="30"/>
        </w:rPr>
        <w:t>；</w:t>
      </w:r>
      <w:r>
        <w:rPr>
          <w:rFonts w:ascii="Times New Roman" w:eastAsia="仿宋_GB2312"/>
          <w:color w:val="000000"/>
          <w:sz w:val="30"/>
          <w:szCs w:val="30"/>
        </w:rPr>
        <w:t>熟悉分公司和子公司的法律地位</w:t>
      </w:r>
      <w:r>
        <w:rPr>
          <w:rFonts w:hint="eastAsia" w:ascii="Times New Roman" w:eastAsia="仿宋_GB2312"/>
          <w:color w:val="000000"/>
          <w:sz w:val="30"/>
          <w:szCs w:val="30"/>
        </w:rPr>
        <w:t>；</w:t>
      </w:r>
      <w:r>
        <w:rPr>
          <w:rFonts w:ascii="Times New Roman" w:eastAsia="仿宋_GB2312"/>
          <w:color w:val="000000"/>
          <w:sz w:val="30"/>
          <w:szCs w:val="30"/>
        </w:rPr>
        <w:t>掌握公司对外投资和担保的规定</w:t>
      </w:r>
      <w:r>
        <w:rPr>
          <w:rFonts w:hint="eastAsia" w:ascii="Times New Roman" w:eastAsia="仿宋_GB2312"/>
          <w:color w:val="000000"/>
          <w:sz w:val="30"/>
          <w:szCs w:val="30"/>
        </w:rPr>
        <w:t>；了解</w:t>
      </w:r>
      <w:r>
        <w:rPr>
          <w:rFonts w:ascii="Times New Roman" w:eastAsia="仿宋_GB2312"/>
          <w:color w:val="000000"/>
          <w:sz w:val="30"/>
          <w:szCs w:val="30"/>
        </w:rPr>
        <w:t>关于禁止公司股东滥用权利的规定</w:t>
      </w:r>
      <w:r>
        <w:rPr>
          <w:rFonts w:hint="eastAsia" w:ascii="Times New Roman" w:eastAsia="仿宋_GB2312"/>
          <w:color w:val="000000"/>
          <w:sz w:val="30"/>
          <w:szCs w:val="30"/>
        </w:rPr>
        <w:t>；熟悉公司股东出资的相关规定；了解</w:t>
      </w:r>
      <w:r>
        <w:rPr>
          <w:rFonts w:ascii="Times New Roman" w:eastAsia="仿宋_GB2312"/>
          <w:color w:val="000000"/>
          <w:sz w:val="30"/>
          <w:szCs w:val="30"/>
        </w:rPr>
        <w:t>有限责任公司股东会召集</w:t>
      </w:r>
      <w:r>
        <w:rPr>
          <w:rFonts w:hint="eastAsia" w:ascii="Times New Roman" w:eastAsia="仿宋_GB2312"/>
          <w:color w:val="000000"/>
          <w:sz w:val="30"/>
          <w:szCs w:val="30"/>
        </w:rPr>
        <w:t>、</w:t>
      </w:r>
      <w:r>
        <w:rPr>
          <w:rFonts w:ascii="Times New Roman" w:eastAsia="仿宋_GB2312"/>
          <w:color w:val="000000"/>
          <w:sz w:val="30"/>
          <w:szCs w:val="30"/>
        </w:rPr>
        <w:t>主持</w:t>
      </w:r>
      <w:r>
        <w:rPr>
          <w:rFonts w:hint="eastAsia" w:ascii="Times New Roman" w:eastAsia="仿宋_GB2312"/>
          <w:color w:val="000000"/>
          <w:sz w:val="30"/>
          <w:szCs w:val="30"/>
        </w:rPr>
        <w:t>和表决</w:t>
      </w:r>
      <w:r>
        <w:rPr>
          <w:rFonts w:ascii="Times New Roman" w:eastAsia="仿宋_GB2312"/>
          <w:color w:val="000000"/>
          <w:sz w:val="30"/>
          <w:szCs w:val="30"/>
        </w:rPr>
        <w:t>制度的规定</w:t>
      </w:r>
      <w:r>
        <w:rPr>
          <w:rFonts w:hint="eastAsia" w:ascii="Times New Roman" w:eastAsia="仿宋_GB2312"/>
          <w:color w:val="000000"/>
          <w:sz w:val="30"/>
          <w:szCs w:val="30"/>
        </w:rPr>
        <w:t>；了解</w:t>
      </w:r>
      <w:r>
        <w:rPr>
          <w:rFonts w:ascii="Times New Roman" w:eastAsia="仿宋_GB2312"/>
          <w:color w:val="000000"/>
          <w:sz w:val="30"/>
          <w:szCs w:val="30"/>
        </w:rPr>
        <w:t>有限责任公司董事会的</w:t>
      </w:r>
      <w:r>
        <w:rPr>
          <w:rFonts w:hint="eastAsia" w:ascii="Times New Roman" w:eastAsia="仿宋_GB2312"/>
          <w:color w:val="000000"/>
          <w:sz w:val="30"/>
          <w:szCs w:val="30"/>
        </w:rPr>
        <w:t>组成、任期和</w:t>
      </w:r>
      <w:r>
        <w:rPr>
          <w:rFonts w:ascii="Times New Roman" w:eastAsia="仿宋_GB2312"/>
          <w:color w:val="000000"/>
          <w:sz w:val="30"/>
          <w:szCs w:val="30"/>
        </w:rPr>
        <w:t>职</w:t>
      </w:r>
      <w:r>
        <w:rPr>
          <w:rFonts w:hint="eastAsia" w:ascii="Times New Roman" w:eastAsia="仿宋_GB2312"/>
          <w:color w:val="000000"/>
          <w:sz w:val="30"/>
          <w:szCs w:val="30"/>
        </w:rPr>
        <w:t>责；</w:t>
      </w:r>
      <w:r>
        <w:rPr>
          <w:rFonts w:ascii="Times New Roman" w:eastAsia="仿宋_GB2312"/>
          <w:color w:val="000000"/>
          <w:sz w:val="30"/>
          <w:szCs w:val="30"/>
        </w:rPr>
        <w:t>掌握股份有限公司设立方式</w:t>
      </w:r>
      <w:r>
        <w:rPr>
          <w:rFonts w:hint="eastAsia" w:ascii="Times New Roman" w:eastAsia="仿宋_GB2312"/>
          <w:color w:val="000000"/>
          <w:sz w:val="30"/>
          <w:szCs w:val="30"/>
        </w:rPr>
        <w:t>；</w:t>
      </w:r>
      <w:r>
        <w:rPr>
          <w:rFonts w:ascii="Times New Roman" w:eastAsia="仿宋_GB2312"/>
          <w:color w:val="000000"/>
          <w:sz w:val="30"/>
          <w:szCs w:val="30"/>
        </w:rPr>
        <w:t>掌握股份有限公司股东会</w:t>
      </w:r>
      <w:r>
        <w:rPr>
          <w:rFonts w:hint="eastAsia" w:ascii="Times New Roman" w:eastAsia="仿宋_GB2312"/>
          <w:color w:val="000000"/>
          <w:sz w:val="30"/>
          <w:szCs w:val="30"/>
        </w:rPr>
        <w:t>召集、主持、提案、表决机制的规定；掌握上市公司组织机构的特别规定；</w:t>
      </w:r>
      <w:r>
        <w:rPr>
          <w:rFonts w:ascii="Times New Roman" w:eastAsia="仿宋_GB2312"/>
          <w:color w:val="000000"/>
          <w:sz w:val="30"/>
          <w:szCs w:val="30"/>
        </w:rPr>
        <w:t>熟悉关于</w:t>
      </w:r>
      <w:r>
        <w:rPr>
          <w:rFonts w:hint="eastAsia" w:ascii="Times New Roman" w:eastAsia="仿宋_GB2312"/>
          <w:color w:val="000000"/>
          <w:sz w:val="30"/>
          <w:szCs w:val="30"/>
        </w:rPr>
        <w:t>上市</w:t>
      </w:r>
      <w:r>
        <w:rPr>
          <w:rFonts w:ascii="Times New Roman" w:eastAsia="仿宋_GB2312"/>
          <w:color w:val="000000"/>
          <w:sz w:val="30"/>
          <w:szCs w:val="30"/>
        </w:rPr>
        <w:t>公司重大资产买卖和对外担保的规定</w:t>
      </w:r>
      <w:r>
        <w:rPr>
          <w:rFonts w:hint="eastAsia" w:ascii="Times New Roman" w:eastAsia="仿宋_GB2312"/>
          <w:color w:val="000000"/>
          <w:sz w:val="30"/>
          <w:szCs w:val="30"/>
        </w:rPr>
        <w:t>；了解</w:t>
      </w:r>
      <w:r>
        <w:rPr>
          <w:rFonts w:ascii="Times New Roman" w:eastAsia="仿宋_GB2312"/>
          <w:color w:val="000000"/>
          <w:sz w:val="30"/>
          <w:szCs w:val="30"/>
        </w:rPr>
        <w:t>关于</w:t>
      </w:r>
      <w:bookmarkStart w:id="49" w:name="OLE_LINK5"/>
      <w:r>
        <w:rPr>
          <w:rFonts w:ascii="Times New Roman" w:eastAsia="仿宋_GB2312"/>
          <w:color w:val="000000"/>
          <w:sz w:val="30"/>
          <w:szCs w:val="30"/>
        </w:rPr>
        <w:t>股份有限公司累</w:t>
      </w:r>
      <w:r>
        <w:rPr>
          <w:rFonts w:hint="eastAsia" w:ascii="Times New Roman" w:eastAsia="仿宋_GB2312"/>
          <w:color w:val="000000"/>
          <w:sz w:val="30"/>
          <w:szCs w:val="30"/>
        </w:rPr>
        <w:t>积</w:t>
      </w:r>
      <w:r>
        <w:rPr>
          <w:rFonts w:ascii="Times New Roman" w:eastAsia="仿宋_GB2312"/>
          <w:color w:val="000000"/>
          <w:sz w:val="30"/>
          <w:szCs w:val="30"/>
        </w:rPr>
        <w:t>投票制</w:t>
      </w:r>
      <w:bookmarkEnd w:id="49"/>
      <w:r>
        <w:rPr>
          <w:rFonts w:ascii="Times New Roman" w:eastAsia="仿宋_GB2312"/>
          <w:color w:val="000000"/>
          <w:sz w:val="30"/>
          <w:szCs w:val="30"/>
        </w:rPr>
        <w:t>的规定</w:t>
      </w:r>
      <w:r>
        <w:rPr>
          <w:rFonts w:hint="eastAsia" w:ascii="Times New Roman" w:eastAsia="仿宋_GB2312"/>
          <w:color w:val="000000"/>
          <w:sz w:val="30"/>
          <w:szCs w:val="30"/>
        </w:rPr>
        <w:t>；</w:t>
      </w:r>
      <w:r>
        <w:rPr>
          <w:rFonts w:ascii="Times New Roman" w:eastAsia="仿宋_GB2312"/>
          <w:color w:val="000000"/>
          <w:sz w:val="30"/>
          <w:szCs w:val="30"/>
        </w:rPr>
        <w:t>掌握关于股份有限公司董事会组成</w:t>
      </w:r>
      <w:r>
        <w:rPr>
          <w:rFonts w:hint="eastAsia" w:ascii="Times New Roman" w:eastAsia="仿宋_GB2312"/>
          <w:color w:val="000000"/>
          <w:sz w:val="30"/>
          <w:szCs w:val="30"/>
        </w:rPr>
        <w:t>、</w:t>
      </w:r>
      <w:r>
        <w:rPr>
          <w:rFonts w:ascii="Times New Roman" w:eastAsia="仿宋_GB2312"/>
          <w:color w:val="000000"/>
          <w:sz w:val="30"/>
          <w:szCs w:val="30"/>
        </w:rPr>
        <w:t>任期和职权的规定</w:t>
      </w:r>
      <w:r>
        <w:rPr>
          <w:rFonts w:hint="eastAsia" w:ascii="Times New Roman" w:eastAsia="仿宋_GB2312"/>
          <w:color w:val="000000"/>
          <w:sz w:val="30"/>
          <w:szCs w:val="30"/>
        </w:rPr>
        <w:t>；</w:t>
      </w:r>
      <w:r>
        <w:rPr>
          <w:rFonts w:ascii="Times New Roman" w:eastAsia="仿宋_GB2312"/>
          <w:color w:val="000000"/>
          <w:sz w:val="30"/>
          <w:szCs w:val="30"/>
        </w:rPr>
        <w:t>掌握股份有限公司</w:t>
      </w:r>
      <w:r>
        <w:rPr>
          <w:rFonts w:hint="eastAsia" w:ascii="Times New Roman" w:eastAsia="仿宋_GB2312"/>
          <w:color w:val="000000"/>
          <w:sz w:val="30"/>
          <w:szCs w:val="30"/>
        </w:rPr>
        <w:t>董事会召集和表决机制的规定；掌握股份有限公司发行股份的种类和程序要求；熟悉</w:t>
      </w:r>
      <w:r>
        <w:rPr>
          <w:rFonts w:ascii="Times New Roman" w:eastAsia="仿宋_GB2312"/>
          <w:color w:val="000000"/>
          <w:sz w:val="30"/>
          <w:szCs w:val="30"/>
        </w:rPr>
        <w:t>股份有限公司监事会</w:t>
      </w:r>
      <w:r>
        <w:rPr>
          <w:rFonts w:hint="eastAsia" w:ascii="Times New Roman" w:eastAsia="仿宋_GB2312"/>
          <w:color w:val="000000"/>
          <w:sz w:val="30"/>
          <w:szCs w:val="30"/>
        </w:rPr>
        <w:t>设置、</w:t>
      </w:r>
      <w:r>
        <w:rPr>
          <w:rFonts w:ascii="Times New Roman" w:eastAsia="仿宋_GB2312"/>
          <w:color w:val="000000"/>
          <w:sz w:val="30"/>
          <w:szCs w:val="30"/>
        </w:rPr>
        <w:t>组成及监事任期的规定</w:t>
      </w:r>
      <w:r>
        <w:rPr>
          <w:rFonts w:hint="eastAsia" w:ascii="Times New Roman" w:eastAsia="仿宋_GB2312"/>
          <w:color w:val="000000"/>
          <w:sz w:val="30"/>
          <w:szCs w:val="30"/>
        </w:rPr>
        <w:t>；了解股份回购的情形和程序的规定；</w:t>
      </w:r>
      <w:r>
        <w:rPr>
          <w:rFonts w:ascii="Times New Roman" w:eastAsia="仿宋_GB2312"/>
          <w:color w:val="000000"/>
          <w:sz w:val="30"/>
          <w:szCs w:val="30"/>
        </w:rPr>
        <w:t>熟悉关于公司董事</w:t>
      </w:r>
      <w:r>
        <w:rPr>
          <w:rFonts w:hint="eastAsia" w:ascii="Times New Roman" w:eastAsia="仿宋_GB2312"/>
          <w:color w:val="000000"/>
          <w:sz w:val="30"/>
          <w:szCs w:val="30"/>
        </w:rPr>
        <w:t>、</w:t>
      </w:r>
      <w:r>
        <w:rPr>
          <w:rFonts w:ascii="Times New Roman" w:eastAsia="仿宋_GB2312"/>
          <w:color w:val="000000"/>
          <w:sz w:val="30"/>
          <w:szCs w:val="30"/>
        </w:rPr>
        <w:t>监事和高级管理人员的权利义务的规定</w:t>
      </w:r>
      <w:r>
        <w:rPr>
          <w:rFonts w:hint="eastAsia" w:ascii="Times New Roman" w:eastAsia="仿宋_GB2312"/>
          <w:color w:val="000000"/>
          <w:sz w:val="30"/>
          <w:szCs w:val="30"/>
        </w:rPr>
        <w:t>；熟悉公司董事、监事、高级管理人员的禁止行为；掌握公司发行债券的相关规定；</w:t>
      </w:r>
      <w:r>
        <w:rPr>
          <w:rFonts w:ascii="Times New Roman" w:eastAsia="仿宋_GB2312"/>
          <w:color w:val="000000"/>
          <w:sz w:val="30"/>
          <w:szCs w:val="30"/>
        </w:rPr>
        <w:t>熟悉公司利润分配的规定</w:t>
      </w:r>
      <w:r>
        <w:rPr>
          <w:rFonts w:hint="eastAsia" w:ascii="Times New Roman" w:eastAsia="仿宋_GB2312"/>
          <w:color w:val="000000"/>
          <w:sz w:val="30"/>
          <w:szCs w:val="30"/>
        </w:rPr>
        <w:t>；</w:t>
      </w:r>
      <w:r>
        <w:rPr>
          <w:rFonts w:ascii="Times New Roman" w:eastAsia="仿宋_GB2312"/>
          <w:color w:val="000000"/>
          <w:sz w:val="30"/>
          <w:szCs w:val="30"/>
        </w:rPr>
        <w:t>掌握高级管理人员</w:t>
      </w:r>
      <w:r>
        <w:rPr>
          <w:rFonts w:hint="eastAsia" w:ascii="Times New Roman" w:eastAsia="仿宋_GB2312"/>
          <w:color w:val="000000"/>
          <w:sz w:val="30"/>
          <w:szCs w:val="30"/>
        </w:rPr>
        <w:t>、</w:t>
      </w:r>
      <w:r>
        <w:rPr>
          <w:rFonts w:ascii="Times New Roman" w:eastAsia="仿宋_GB2312"/>
          <w:color w:val="000000"/>
          <w:sz w:val="30"/>
          <w:szCs w:val="30"/>
        </w:rPr>
        <w:t>控股股东</w:t>
      </w:r>
      <w:r>
        <w:rPr>
          <w:rFonts w:hint="eastAsia" w:ascii="Times New Roman" w:eastAsia="仿宋_GB2312"/>
          <w:color w:val="000000"/>
          <w:sz w:val="30"/>
          <w:szCs w:val="30"/>
        </w:rPr>
        <w:t>、</w:t>
      </w:r>
      <w:r>
        <w:rPr>
          <w:rFonts w:ascii="Times New Roman" w:eastAsia="仿宋_GB2312"/>
          <w:color w:val="000000"/>
          <w:sz w:val="30"/>
          <w:szCs w:val="30"/>
        </w:rPr>
        <w:t>实际控制人</w:t>
      </w:r>
      <w:r>
        <w:rPr>
          <w:rFonts w:hint="eastAsia" w:ascii="Times New Roman" w:eastAsia="仿宋_GB2312"/>
          <w:color w:val="000000"/>
          <w:sz w:val="30"/>
          <w:szCs w:val="30"/>
        </w:rPr>
        <w:t>、</w:t>
      </w:r>
      <w:r>
        <w:rPr>
          <w:rFonts w:ascii="Times New Roman" w:eastAsia="仿宋_GB2312"/>
          <w:color w:val="000000"/>
          <w:sz w:val="30"/>
          <w:szCs w:val="30"/>
        </w:rPr>
        <w:t>关联关系的界定</w:t>
      </w:r>
      <w:r>
        <w:rPr>
          <w:rFonts w:hint="eastAsia" w:ascii="Times New Roman" w:eastAsia="仿宋_GB2312"/>
          <w:color w:val="000000"/>
          <w:sz w:val="30"/>
          <w:szCs w:val="30"/>
        </w:rPr>
        <w:t>。</w:t>
      </w:r>
    </w:p>
    <w:p>
      <w:pPr>
        <w:pStyle w:val="4"/>
        <w:spacing w:line="240" w:lineRule="auto"/>
        <w:ind w:firstLine="602"/>
        <w:rPr>
          <w:rFonts w:ascii="仿宋_GB2312" w:hAnsi="仿宋_GB2312" w:cs="仿宋_GB2312"/>
          <w:bCs w:val="0"/>
          <w:szCs w:val="22"/>
        </w:rPr>
      </w:pPr>
      <w:bookmarkStart w:id="50" w:name="_Toc31415"/>
      <w:bookmarkStart w:id="51" w:name="_Toc110431086"/>
      <w:bookmarkStart w:id="52" w:name="_Toc5040"/>
      <w:bookmarkStart w:id="53" w:name="_Toc35903743"/>
      <w:bookmarkStart w:id="54" w:name="_Toc1120572302"/>
      <w:bookmarkStart w:id="55" w:name="_Toc1308120108"/>
      <w:bookmarkStart w:id="56" w:name="_Toc8471"/>
      <w:bookmarkStart w:id="57" w:name="_Toc1266800051"/>
      <w:bookmarkStart w:id="58" w:name="_Toc1668635466"/>
      <w:r>
        <w:rPr>
          <w:rFonts w:hint="eastAsia" w:ascii="仿宋_GB2312" w:hAnsi="仿宋_GB2312" w:cs="仿宋_GB2312"/>
          <w:bCs w:val="0"/>
          <w:szCs w:val="22"/>
        </w:rPr>
        <w:t>2.《中华人民共和国证券法》</w:t>
      </w:r>
      <w:bookmarkEnd w:id="50"/>
      <w:bookmarkEnd w:id="51"/>
      <w:bookmarkEnd w:id="52"/>
      <w:r>
        <w:rPr>
          <w:rFonts w:hint="eastAsia" w:ascii="仿宋_GB2312" w:hAnsi="仿宋_GB2312" w:cs="仿宋_GB2312"/>
          <w:bCs w:val="0"/>
          <w:szCs w:val="22"/>
        </w:rPr>
        <w:t>（1998年12月29日公布，2019年12月28日最新修订，2020年3月1日起施行）</w:t>
      </w:r>
      <w:bookmarkEnd w:id="53"/>
      <w:bookmarkEnd w:id="54"/>
      <w:bookmarkEnd w:id="55"/>
      <w:bookmarkEnd w:id="56"/>
      <w:bookmarkEnd w:id="57"/>
      <w:bookmarkEnd w:id="58"/>
    </w:p>
    <w:p>
      <w:pPr>
        <w:ind w:firstLine="600" w:firstLineChars="200"/>
        <w:rPr>
          <w:rFonts w:ascii="Times New Roman" w:eastAsia="仿宋_GB2312"/>
          <w:color w:val="000000"/>
          <w:sz w:val="30"/>
          <w:szCs w:val="30"/>
        </w:rPr>
      </w:pPr>
      <w:r>
        <w:rPr>
          <w:rFonts w:ascii="Times New Roman" w:eastAsia="仿宋_GB2312"/>
          <w:color w:val="000000"/>
          <w:sz w:val="30"/>
          <w:szCs w:val="30"/>
        </w:rPr>
        <w:t>熟悉证券发行和交易的</w:t>
      </w:r>
      <w:r>
        <w:rPr>
          <w:rFonts w:hint="eastAsia" w:ascii="Times New Roman" w:eastAsia="仿宋_GB2312"/>
          <w:color w:val="000000"/>
          <w:sz w:val="30"/>
          <w:szCs w:val="30"/>
        </w:rPr>
        <w:t>“</w:t>
      </w:r>
      <w:r>
        <w:rPr>
          <w:rFonts w:ascii="Times New Roman" w:eastAsia="仿宋_GB2312"/>
          <w:color w:val="000000"/>
          <w:sz w:val="30"/>
          <w:szCs w:val="30"/>
        </w:rPr>
        <w:t>三公</w:t>
      </w:r>
      <w:r>
        <w:rPr>
          <w:rFonts w:hint="eastAsia" w:ascii="Times New Roman" w:eastAsia="仿宋_GB2312"/>
          <w:color w:val="000000"/>
          <w:sz w:val="30"/>
          <w:szCs w:val="30"/>
        </w:rPr>
        <w:t>”</w:t>
      </w:r>
      <w:r>
        <w:rPr>
          <w:rFonts w:ascii="Times New Roman" w:eastAsia="仿宋_GB2312"/>
          <w:color w:val="000000"/>
          <w:sz w:val="30"/>
          <w:szCs w:val="30"/>
        </w:rPr>
        <w:t>原则</w:t>
      </w:r>
      <w:r>
        <w:rPr>
          <w:rFonts w:hint="eastAsia" w:ascii="Times New Roman" w:eastAsia="仿宋_GB2312"/>
          <w:color w:val="000000"/>
          <w:sz w:val="30"/>
          <w:szCs w:val="30"/>
        </w:rPr>
        <w:t>；了解</w:t>
      </w:r>
      <w:r>
        <w:rPr>
          <w:rFonts w:ascii="Times New Roman" w:eastAsia="仿宋_GB2312"/>
          <w:color w:val="000000"/>
          <w:sz w:val="30"/>
          <w:szCs w:val="30"/>
        </w:rPr>
        <w:t>发行交易当事人的行为准则</w:t>
      </w:r>
      <w:r>
        <w:rPr>
          <w:rFonts w:hint="eastAsia" w:ascii="Times New Roman" w:eastAsia="仿宋_GB2312"/>
          <w:color w:val="000000"/>
          <w:sz w:val="30"/>
          <w:szCs w:val="30"/>
        </w:rPr>
        <w:t>；</w:t>
      </w:r>
      <w:r>
        <w:rPr>
          <w:rFonts w:ascii="Times New Roman" w:eastAsia="仿宋_GB2312"/>
          <w:color w:val="000000"/>
          <w:sz w:val="30"/>
          <w:szCs w:val="30"/>
        </w:rPr>
        <w:t>掌握禁止欺诈</w:t>
      </w:r>
      <w:r>
        <w:rPr>
          <w:rFonts w:hint="eastAsia" w:ascii="Times New Roman" w:eastAsia="仿宋_GB2312"/>
          <w:color w:val="000000"/>
          <w:sz w:val="30"/>
          <w:szCs w:val="30"/>
        </w:rPr>
        <w:t>、</w:t>
      </w:r>
      <w:r>
        <w:rPr>
          <w:rFonts w:ascii="Times New Roman" w:eastAsia="仿宋_GB2312"/>
          <w:color w:val="000000"/>
          <w:sz w:val="30"/>
          <w:szCs w:val="30"/>
        </w:rPr>
        <w:t>内幕交易和操纵证券交易市场行为的规定</w:t>
      </w:r>
      <w:r>
        <w:rPr>
          <w:rFonts w:hint="eastAsia" w:ascii="Times New Roman" w:eastAsia="仿宋_GB2312"/>
          <w:color w:val="000000"/>
          <w:sz w:val="30"/>
          <w:szCs w:val="30"/>
        </w:rPr>
        <w:t>；</w:t>
      </w:r>
      <w:r>
        <w:rPr>
          <w:rFonts w:ascii="Times New Roman" w:eastAsia="仿宋_GB2312"/>
          <w:color w:val="000000"/>
          <w:sz w:val="30"/>
          <w:szCs w:val="30"/>
        </w:rPr>
        <w:t>掌握关于公开发行证券的规定</w:t>
      </w:r>
      <w:r>
        <w:rPr>
          <w:rFonts w:hint="eastAsia" w:ascii="Times New Roman" w:eastAsia="仿宋_GB2312"/>
          <w:color w:val="000000"/>
          <w:sz w:val="30"/>
          <w:szCs w:val="30"/>
        </w:rPr>
        <w:t>；了解</w:t>
      </w:r>
      <w:r>
        <w:rPr>
          <w:rFonts w:ascii="Times New Roman" w:eastAsia="仿宋_GB2312"/>
          <w:color w:val="000000"/>
          <w:sz w:val="30"/>
          <w:szCs w:val="30"/>
        </w:rPr>
        <w:t>关于证券交易场所</w:t>
      </w:r>
      <w:r>
        <w:rPr>
          <w:rFonts w:hint="eastAsia" w:ascii="Times New Roman" w:eastAsia="仿宋_GB2312"/>
          <w:color w:val="000000"/>
          <w:sz w:val="30"/>
          <w:szCs w:val="30"/>
        </w:rPr>
        <w:t>、</w:t>
      </w:r>
      <w:r>
        <w:rPr>
          <w:rFonts w:ascii="Times New Roman" w:eastAsia="仿宋_GB2312"/>
          <w:color w:val="000000"/>
          <w:sz w:val="30"/>
          <w:szCs w:val="30"/>
        </w:rPr>
        <w:t>交易方式的规定</w:t>
      </w:r>
      <w:r>
        <w:rPr>
          <w:rFonts w:hint="eastAsia" w:ascii="Times New Roman" w:eastAsia="仿宋_GB2312"/>
          <w:color w:val="000000"/>
          <w:sz w:val="30"/>
          <w:szCs w:val="30"/>
        </w:rPr>
        <w:t>；</w:t>
      </w:r>
      <w:r>
        <w:rPr>
          <w:rFonts w:ascii="Times New Roman" w:eastAsia="仿宋_GB2312"/>
          <w:color w:val="000000"/>
          <w:sz w:val="30"/>
          <w:szCs w:val="30"/>
        </w:rPr>
        <w:t>掌握</w:t>
      </w:r>
      <w:r>
        <w:rPr>
          <w:rFonts w:hint="eastAsia" w:ascii="Times New Roman" w:eastAsia="仿宋_GB2312"/>
          <w:color w:val="000000"/>
          <w:sz w:val="30"/>
          <w:szCs w:val="30"/>
        </w:rPr>
        <w:t>有关人员</w:t>
      </w:r>
      <w:r>
        <w:rPr>
          <w:rFonts w:ascii="Times New Roman" w:eastAsia="仿宋_GB2312"/>
          <w:color w:val="000000"/>
          <w:sz w:val="30"/>
          <w:szCs w:val="30"/>
        </w:rPr>
        <w:t>持有或买卖股票的</w:t>
      </w:r>
      <w:r>
        <w:rPr>
          <w:rFonts w:hint="eastAsia" w:ascii="Times New Roman" w:eastAsia="仿宋_GB2312"/>
          <w:color w:val="000000"/>
          <w:sz w:val="30"/>
          <w:szCs w:val="30"/>
        </w:rPr>
        <w:t>禁止性</w:t>
      </w:r>
      <w:r>
        <w:rPr>
          <w:rFonts w:ascii="Times New Roman" w:eastAsia="仿宋_GB2312"/>
          <w:color w:val="000000"/>
          <w:sz w:val="30"/>
          <w:szCs w:val="30"/>
        </w:rPr>
        <w:t>规定</w:t>
      </w:r>
      <w:r>
        <w:rPr>
          <w:rFonts w:hint="eastAsia" w:ascii="Times New Roman" w:eastAsia="仿宋_GB2312"/>
          <w:color w:val="000000"/>
          <w:sz w:val="30"/>
          <w:szCs w:val="30"/>
        </w:rPr>
        <w:t>；了解</w:t>
      </w:r>
      <w:r>
        <w:rPr>
          <w:rFonts w:ascii="Times New Roman" w:eastAsia="仿宋_GB2312"/>
          <w:color w:val="000000"/>
          <w:sz w:val="30"/>
          <w:szCs w:val="30"/>
        </w:rPr>
        <w:t>关于证券上市审核的规定</w:t>
      </w:r>
      <w:r>
        <w:rPr>
          <w:rFonts w:hint="eastAsia" w:ascii="Times New Roman" w:eastAsia="仿宋_GB2312"/>
          <w:color w:val="000000"/>
          <w:sz w:val="30"/>
          <w:szCs w:val="30"/>
        </w:rPr>
        <w:t>；</w:t>
      </w:r>
      <w:r>
        <w:rPr>
          <w:rFonts w:ascii="Times New Roman" w:eastAsia="仿宋_GB2312"/>
          <w:color w:val="000000"/>
          <w:sz w:val="30"/>
          <w:szCs w:val="30"/>
        </w:rPr>
        <w:t>掌握证券交易中有关内幕交易的规定</w:t>
      </w:r>
      <w:r>
        <w:rPr>
          <w:rFonts w:hint="eastAsia" w:ascii="Times New Roman" w:eastAsia="仿宋_GB2312"/>
          <w:color w:val="000000"/>
          <w:sz w:val="30"/>
          <w:szCs w:val="30"/>
        </w:rPr>
        <w:t>；</w:t>
      </w:r>
      <w:r>
        <w:rPr>
          <w:rFonts w:ascii="Times New Roman" w:eastAsia="仿宋_GB2312"/>
          <w:color w:val="000000"/>
          <w:sz w:val="30"/>
          <w:szCs w:val="30"/>
        </w:rPr>
        <w:t>熟悉证券交易中操纵市场行为的界定</w:t>
      </w:r>
      <w:r>
        <w:rPr>
          <w:rFonts w:hint="eastAsia" w:ascii="Times New Roman" w:eastAsia="仿宋_GB2312"/>
          <w:color w:val="000000"/>
          <w:sz w:val="30"/>
          <w:szCs w:val="30"/>
        </w:rPr>
        <w:t>；掌握投资者保护的制度安排和规定；掌握证券服务机构的职责；</w:t>
      </w:r>
      <w:r>
        <w:rPr>
          <w:rFonts w:ascii="Times New Roman" w:eastAsia="仿宋_GB2312"/>
          <w:color w:val="000000"/>
          <w:sz w:val="30"/>
          <w:szCs w:val="30"/>
        </w:rPr>
        <w:t>掌握国务院证券监督管理机构依法履行职责</w:t>
      </w:r>
      <w:r>
        <w:rPr>
          <w:rFonts w:hint="eastAsia" w:ascii="Times New Roman" w:eastAsia="仿宋_GB2312"/>
          <w:color w:val="000000"/>
          <w:sz w:val="30"/>
          <w:szCs w:val="30"/>
        </w:rPr>
        <w:t>时</w:t>
      </w:r>
      <w:r>
        <w:rPr>
          <w:rFonts w:ascii="Times New Roman" w:eastAsia="仿宋_GB2312"/>
          <w:color w:val="000000"/>
          <w:sz w:val="30"/>
          <w:szCs w:val="30"/>
        </w:rPr>
        <w:t>有权采取的措施和被检查</w:t>
      </w:r>
      <w:r>
        <w:rPr>
          <w:rFonts w:hint="eastAsia" w:ascii="Times New Roman" w:eastAsia="仿宋_GB2312"/>
          <w:color w:val="000000"/>
          <w:sz w:val="30"/>
          <w:szCs w:val="30"/>
        </w:rPr>
        <w:t>、</w:t>
      </w:r>
      <w:r>
        <w:rPr>
          <w:rFonts w:ascii="Times New Roman" w:eastAsia="仿宋_GB2312"/>
          <w:color w:val="000000"/>
          <w:sz w:val="30"/>
          <w:szCs w:val="30"/>
        </w:rPr>
        <w:t>调查的单位及个人的配合义务</w:t>
      </w:r>
      <w:r>
        <w:rPr>
          <w:rFonts w:hint="eastAsia" w:ascii="Times New Roman" w:eastAsia="仿宋_GB2312"/>
          <w:color w:val="000000"/>
          <w:sz w:val="30"/>
          <w:szCs w:val="30"/>
        </w:rPr>
        <w:t>；</w:t>
      </w:r>
      <w:r>
        <w:rPr>
          <w:rFonts w:ascii="Times New Roman" w:eastAsia="仿宋_GB2312"/>
          <w:color w:val="000000"/>
          <w:sz w:val="30"/>
          <w:szCs w:val="30"/>
        </w:rPr>
        <w:t>熟悉关于相关证券违法行为法律责任的规定。</w:t>
      </w:r>
    </w:p>
    <w:p>
      <w:pPr>
        <w:pStyle w:val="4"/>
        <w:ind w:firstLine="602"/>
        <w:rPr>
          <w:rFonts w:ascii="仿宋_GB2312" w:hAnsi="Times New Roman"/>
          <w:sz w:val="32"/>
        </w:rPr>
      </w:pPr>
      <w:bookmarkStart w:id="59" w:name="_Toc26386"/>
      <w:bookmarkStart w:id="60" w:name="_Toc25471"/>
      <w:bookmarkStart w:id="61" w:name="_Toc721059403"/>
      <w:bookmarkStart w:id="62" w:name="_Toc357415723"/>
      <w:bookmarkStart w:id="63" w:name="_Toc1234554506"/>
      <w:bookmarkStart w:id="64" w:name="_Toc1558356953"/>
      <w:bookmarkStart w:id="65" w:name="_Toc1059774046"/>
      <w:r>
        <w:rPr>
          <w:rFonts w:hint="eastAsia" w:ascii="仿宋_GB2312" w:hAnsi="仿宋_GB2312" w:cs="仿宋_GB2312"/>
          <w:bCs w:val="0"/>
          <w:szCs w:val="22"/>
        </w:rPr>
        <w:t>3.</w:t>
      </w:r>
      <w:r>
        <w:rPr>
          <w:rFonts w:hint="eastAsia" w:ascii="仿宋_GB2312" w:hAnsi="仿宋_GB2312" w:cs="仿宋_GB2312"/>
          <w:szCs w:val="22"/>
        </w:rPr>
        <w:t>《中华人民共和国民法典》关于合同、担保物权的相关规定</w:t>
      </w:r>
      <w:bookmarkEnd w:id="59"/>
      <w:r>
        <w:rPr>
          <w:rFonts w:hint="eastAsia" w:ascii="仿宋_GB2312" w:hAnsi="仿宋_GB2312" w:cs="仿宋_GB2312"/>
          <w:szCs w:val="22"/>
        </w:rPr>
        <w:t>（2020年5月28日公布，2021年1月1日起施行）</w:t>
      </w:r>
      <w:bookmarkEnd w:id="60"/>
      <w:bookmarkEnd w:id="61"/>
      <w:bookmarkEnd w:id="62"/>
      <w:bookmarkEnd w:id="63"/>
      <w:bookmarkEnd w:id="64"/>
      <w:bookmarkEnd w:id="65"/>
    </w:p>
    <w:p>
      <w:pPr>
        <w:ind w:firstLine="600" w:firstLineChars="200"/>
        <w:rPr>
          <w:rFonts w:ascii="Times New Roman" w:eastAsia="仿宋_GB2312"/>
          <w:color w:val="000000"/>
          <w:sz w:val="30"/>
          <w:szCs w:val="30"/>
        </w:rPr>
      </w:pPr>
      <w:r>
        <w:rPr>
          <w:rFonts w:ascii="Times New Roman" w:eastAsia="仿宋_GB2312"/>
          <w:color w:val="000000"/>
          <w:sz w:val="30"/>
          <w:szCs w:val="30"/>
        </w:rPr>
        <w:t>了解合同当事人订立合同可以采用的形式</w:t>
      </w:r>
      <w:r>
        <w:rPr>
          <w:rFonts w:hint="eastAsia" w:ascii="Times New Roman" w:eastAsia="仿宋_GB2312"/>
          <w:color w:val="000000"/>
          <w:sz w:val="30"/>
          <w:szCs w:val="30"/>
        </w:rPr>
        <w:t>；熟悉</w:t>
      </w:r>
      <w:r>
        <w:rPr>
          <w:rFonts w:ascii="Times New Roman" w:eastAsia="仿宋_GB2312"/>
          <w:color w:val="000000"/>
          <w:sz w:val="30"/>
          <w:szCs w:val="30"/>
        </w:rPr>
        <w:t>合同内容应包括的一般条款</w:t>
      </w:r>
      <w:r>
        <w:rPr>
          <w:rFonts w:hint="eastAsia" w:ascii="Times New Roman" w:eastAsia="仿宋_GB2312"/>
          <w:color w:val="000000"/>
          <w:sz w:val="30"/>
          <w:szCs w:val="30"/>
        </w:rPr>
        <w:t>；</w:t>
      </w:r>
      <w:r>
        <w:rPr>
          <w:rFonts w:ascii="Times New Roman" w:eastAsia="仿宋_GB2312"/>
          <w:color w:val="000000"/>
          <w:sz w:val="30"/>
          <w:szCs w:val="30"/>
        </w:rPr>
        <w:t>了解当事人订立合同采取的方式</w:t>
      </w:r>
      <w:r>
        <w:rPr>
          <w:rFonts w:hint="eastAsia" w:ascii="Times New Roman" w:eastAsia="仿宋_GB2312"/>
          <w:color w:val="000000"/>
          <w:sz w:val="30"/>
          <w:szCs w:val="30"/>
        </w:rPr>
        <w:t>；</w:t>
      </w:r>
      <w:r>
        <w:rPr>
          <w:rFonts w:ascii="Times New Roman" w:eastAsia="仿宋_GB2312"/>
          <w:color w:val="000000"/>
          <w:sz w:val="30"/>
          <w:szCs w:val="30"/>
        </w:rPr>
        <w:t>熟悉合同当事人不履行合同义务应承担的违约责任</w:t>
      </w:r>
      <w:r>
        <w:rPr>
          <w:rFonts w:hint="eastAsia" w:ascii="Times New Roman" w:eastAsia="仿宋_GB2312"/>
          <w:color w:val="000000"/>
          <w:sz w:val="30"/>
          <w:szCs w:val="30"/>
        </w:rPr>
        <w:t>；</w:t>
      </w:r>
      <w:r>
        <w:rPr>
          <w:rFonts w:ascii="Times New Roman" w:eastAsia="仿宋_GB2312"/>
          <w:color w:val="000000"/>
          <w:sz w:val="30"/>
          <w:szCs w:val="30"/>
        </w:rPr>
        <w:t>熟悉借款合同的形式和主要内容</w:t>
      </w:r>
      <w:r>
        <w:rPr>
          <w:rFonts w:hint="eastAsia" w:ascii="Times New Roman" w:eastAsia="仿宋_GB2312"/>
          <w:color w:val="000000"/>
          <w:sz w:val="30"/>
          <w:szCs w:val="30"/>
        </w:rPr>
        <w:t>；</w:t>
      </w:r>
      <w:r>
        <w:rPr>
          <w:rFonts w:ascii="Times New Roman" w:eastAsia="仿宋_GB2312"/>
          <w:color w:val="000000"/>
          <w:sz w:val="30"/>
          <w:szCs w:val="30"/>
        </w:rPr>
        <w:t>熟悉借款人和贷款人的权利及义务</w:t>
      </w:r>
      <w:r>
        <w:rPr>
          <w:rFonts w:hint="eastAsia" w:ascii="Times New Roman" w:eastAsia="仿宋_GB2312"/>
          <w:color w:val="000000"/>
          <w:sz w:val="30"/>
          <w:szCs w:val="30"/>
        </w:rPr>
        <w:t>；</w:t>
      </w:r>
      <w:r>
        <w:rPr>
          <w:rFonts w:ascii="Times New Roman" w:eastAsia="仿宋_GB2312"/>
          <w:color w:val="000000"/>
          <w:sz w:val="30"/>
          <w:szCs w:val="30"/>
        </w:rPr>
        <w:t>了解</w:t>
      </w:r>
      <w:r>
        <w:rPr>
          <w:rFonts w:hint="eastAsia" w:ascii="Times New Roman" w:eastAsia="仿宋_GB2312"/>
          <w:color w:val="000000"/>
          <w:sz w:val="30"/>
          <w:szCs w:val="30"/>
        </w:rPr>
        <w:t>委托合同中</w:t>
      </w:r>
      <w:r>
        <w:rPr>
          <w:rFonts w:ascii="Times New Roman" w:eastAsia="仿宋_GB2312"/>
          <w:color w:val="000000"/>
          <w:sz w:val="30"/>
          <w:szCs w:val="30"/>
        </w:rPr>
        <w:t>受托人</w:t>
      </w:r>
      <w:r>
        <w:rPr>
          <w:rFonts w:hint="eastAsia" w:ascii="Times New Roman" w:eastAsia="仿宋_GB2312"/>
          <w:color w:val="000000"/>
          <w:sz w:val="30"/>
          <w:szCs w:val="30"/>
        </w:rPr>
        <w:t>、</w:t>
      </w:r>
      <w:r>
        <w:rPr>
          <w:rFonts w:ascii="Times New Roman" w:eastAsia="仿宋_GB2312"/>
          <w:color w:val="000000"/>
          <w:sz w:val="30"/>
          <w:szCs w:val="30"/>
        </w:rPr>
        <w:t>委托人的权利和义务</w:t>
      </w:r>
      <w:r>
        <w:rPr>
          <w:rFonts w:hint="eastAsia" w:ascii="Times New Roman" w:eastAsia="仿宋_GB2312"/>
          <w:color w:val="000000"/>
          <w:sz w:val="30"/>
          <w:szCs w:val="30"/>
        </w:rPr>
        <w:t>；</w:t>
      </w:r>
      <w:r>
        <w:rPr>
          <w:rFonts w:ascii="Times New Roman" w:eastAsia="仿宋_GB2312"/>
          <w:color w:val="000000"/>
          <w:sz w:val="30"/>
          <w:szCs w:val="30"/>
        </w:rPr>
        <w:t>熟悉有关解除委托合同的规定</w:t>
      </w:r>
      <w:r>
        <w:rPr>
          <w:rFonts w:hint="eastAsia" w:ascii="Times New Roman" w:eastAsia="仿宋_GB2312"/>
          <w:color w:val="000000"/>
          <w:sz w:val="30"/>
          <w:szCs w:val="30"/>
        </w:rPr>
        <w:t>；</w:t>
      </w:r>
      <w:r>
        <w:rPr>
          <w:rFonts w:ascii="Times New Roman" w:eastAsia="仿宋_GB2312"/>
          <w:color w:val="000000"/>
          <w:sz w:val="30"/>
          <w:szCs w:val="30"/>
        </w:rPr>
        <w:t>了解有关委托合同终止的规定</w:t>
      </w:r>
      <w:r>
        <w:rPr>
          <w:rFonts w:hint="eastAsia" w:ascii="Times New Roman" w:eastAsia="仿宋_GB2312"/>
          <w:color w:val="000000"/>
          <w:sz w:val="30"/>
          <w:szCs w:val="30"/>
        </w:rPr>
        <w:t>；</w:t>
      </w:r>
      <w:r>
        <w:rPr>
          <w:rFonts w:ascii="Times New Roman" w:eastAsia="仿宋_GB2312"/>
          <w:color w:val="000000"/>
          <w:sz w:val="30"/>
          <w:szCs w:val="30"/>
        </w:rPr>
        <w:t>熟悉</w:t>
      </w:r>
      <w:r>
        <w:rPr>
          <w:rFonts w:hint="eastAsia" w:ascii="Times New Roman" w:eastAsia="仿宋_GB2312"/>
          <w:color w:val="000000"/>
          <w:sz w:val="30"/>
          <w:szCs w:val="30"/>
        </w:rPr>
        <w:t>保证合同</w:t>
      </w:r>
      <w:r>
        <w:rPr>
          <w:rFonts w:ascii="Times New Roman" w:eastAsia="仿宋_GB2312"/>
          <w:color w:val="000000"/>
          <w:sz w:val="30"/>
          <w:szCs w:val="30"/>
        </w:rPr>
        <w:t>的性质</w:t>
      </w:r>
      <w:r>
        <w:rPr>
          <w:rFonts w:hint="eastAsia" w:ascii="Times New Roman" w:eastAsia="仿宋_GB2312"/>
          <w:color w:val="000000"/>
          <w:sz w:val="30"/>
          <w:szCs w:val="30"/>
        </w:rPr>
        <w:t>；</w:t>
      </w:r>
      <w:r>
        <w:rPr>
          <w:rFonts w:ascii="Times New Roman" w:eastAsia="仿宋_GB2312"/>
          <w:color w:val="000000"/>
          <w:sz w:val="30"/>
          <w:szCs w:val="30"/>
        </w:rPr>
        <w:t>掌握保证人的资格条件</w:t>
      </w:r>
      <w:r>
        <w:rPr>
          <w:rFonts w:hint="eastAsia" w:ascii="Times New Roman" w:eastAsia="仿宋_GB2312"/>
          <w:color w:val="000000"/>
          <w:sz w:val="30"/>
          <w:szCs w:val="30"/>
        </w:rPr>
        <w:t>；</w:t>
      </w:r>
      <w:r>
        <w:rPr>
          <w:rFonts w:ascii="Times New Roman" w:eastAsia="仿宋_GB2312"/>
          <w:color w:val="000000"/>
          <w:sz w:val="30"/>
          <w:szCs w:val="30"/>
        </w:rPr>
        <w:t>熟悉保证人承担连带责任的规定</w:t>
      </w:r>
      <w:r>
        <w:rPr>
          <w:rFonts w:hint="eastAsia" w:ascii="Times New Roman" w:eastAsia="仿宋_GB2312"/>
          <w:color w:val="000000"/>
          <w:sz w:val="30"/>
          <w:szCs w:val="30"/>
        </w:rPr>
        <w:t>；熟悉担保物权的担保范围；</w:t>
      </w:r>
      <w:r>
        <w:rPr>
          <w:rFonts w:ascii="Times New Roman" w:eastAsia="仿宋_GB2312"/>
          <w:color w:val="000000"/>
          <w:sz w:val="30"/>
          <w:szCs w:val="30"/>
        </w:rPr>
        <w:t>掌握</w:t>
      </w:r>
      <w:r>
        <w:rPr>
          <w:rFonts w:hint="eastAsia" w:ascii="Times New Roman" w:eastAsia="仿宋_GB2312"/>
          <w:color w:val="000000"/>
          <w:sz w:val="30"/>
          <w:szCs w:val="30"/>
        </w:rPr>
        <w:t>担保物权</w:t>
      </w:r>
      <w:r>
        <w:rPr>
          <w:rFonts w:ascii="Times New Roman" w:eastAsia="仿宋_GB2312"/>
          <w:color w:val="000000"/>
          <w:sz w:val="30"/>
          <w:szCs w:val="30"/>
        </w:rPr>
        <w:t>的</w:t>
      </w:r>
      <w:r>
        <w:rPr>
          <w:rFonts w:hint="eastAsia" w:ascii="Times New Roman" w:eastAsia="仿宋_GB2312"/>
          <w:color w:val="000000"/>
          <w:sz w:val="30"/>
          <w:szCs w:val="30"/>
        </w:rPr>
        <w:t>种类；</w:t>
      </w:r>
      <w:r>
        <w:rPr>
          <w:rFonts w:ascii="Times New Roman" w:eastAsia="仿宋_GB2312"/>
          <w:color w:val="000000"/>
          <w:sz w:val="30"/>
          <w:szCs w:val="30"/>
        </w:rPr>
        <w:t>掌握</w:t>
      </w:r>
      <w:r>
        <w:rPr>
          <w:rFonts w:hint="eastAsia" w:ascii="Times New Roman" w:eastAsia="仿宋_GB2312"/>
          <w:color w:val="000000"/>
          <w:sz w:val="30"/>
          <w:szCs w:val="30"/>
        </w:rPr>
        <w:t>可以抵押的财产范围；</w:t>
      </w:r>
      <w:r>
        <w:rPr>
          <w:rFonts w:ascii="Times New Roman" w:eastAsia="仿宋_GB2312"/>
          <w:color w:val="000000"/>
          <w:sz w:val="30"/>
          <w:szCs w:val="30"/>
        </w:rPr>
        <w:t>掌握同一</w:t>
      </w:r>
      <w:r>
        <w:rPr>
          <w:rFonts w:hint="eastAsia" w:ascii="Times New Roman" w:eastAsia="仿宋_GB2312"/>
          <w:color w:val="000000"/>
          <w:sz w:val="30"/>
          <w:szCs w:val="30"/>
        </w:rPr>
        <w:t>财产向两个以上债权人抵押的清偿顺序；</w:t>
      </w:r>
      <w:r>
        <w:rPr>
          <w:rFonts w:ascii="Times New Roman" w:eastAsia="仿宋_GB2312"/>
          <w:color w:val="000000"/>
          <w:sz w:val="30"/>
          <w:szCs w:val="30"/>
        </w:rPr>
        <w:t>掌握</w:t>
      </w:r>
      <w:r>
        <w:rPr>
          <w:rFonts w:hint="eastAsia" w:ascii="Times New Roman" w:eastAsia="仿宋_GB2312"/>
          <w:color w:val="000000"/>
          <w:sz w:val="30"/>
          <w:szCs w:val="30"/>
        </w:rPr>
        <w:t>权利</w:t>
      </w:r>
      <w:r>
        <w:rPr>
          <w:rFonts w:ascii="Times New Roman" w:eastAsia="仿宋_GB2312"/>
          <w:color w:val="000000"/>
          <w:sz w:val="30"/>
          <w:szCs w:val="30"/>
        </w:rPr>
        <w:t>质权</w:t>
      </w:r>
      <w:r>
        <w:rPr>
          <w:rFonts w:hint="eastAsia" w:ascii="Times New Roman" w:eastAsia="仿宋_GB2312"/>
          <w:color w:val="000000"/>
          <w:sz w:val="30"/>
          <w:szCs w:val="30"/>
        </w:rPr>
        <w:t>设立的条件</w:t>
      </w:r>
      <w:r>
        <w:rPr>
          <w:rFonts w:ascii="Times New Roman" w:eastAsia="仿宋_GB2312"/>
          <w:color w:val="000000"/>
          <w:sz w:val="30"/>
          <w:szCs w:val="30"/>
        </w:rPr>
        <w:t>。</w:t>
      </w:r>
    </w:p>
    <w:p>
      <w:pPr>
        <w:pStyle w:val="4"/>
        <w:spacing w:line="240" w:lineRule="auto"/>
        <w:ind w:firstLine="602"/>
        <w:rPr>
          <w:rFonts w:ascii="仿宋_GB2312" w:hAnsi="仿宋_GB2312" w:cs="仿宋_GB2312"/>
          <w:bCs w:val="0"/>
          <w:szCs w:val="22"/>
        </w:rPr>
      </w:pPr>
      <w:bookmarkStart w:id="66" w:name="_Toc30135"/>
      <w:bookmarkStart w:id="67" w:name="_Toc110431087"/>
      <w:bookmarkStart w:id="68" w:name="_Toc1484"/>
      <w:bookmarkStart w:id="69" w:name="_Toc809267176"/>
      <w:bookmarkStart w:id="70" w:name="_Toc797986683"/>
      <w:bookmarkStart w:id="71" w:name="_Toc1351877843"/>
      <w:bookmarkStart w:id="72" w:name="_Toc1857405067"/>
      <w:bookmarkStart w:id="73" w:name="_Toc4880"/>
      <w:bookmarkStart w:id="74" w:name="_Toc820358924"/>
      <w:r>
        <w:rPr>
          <w:rFonts w:hint="eastAsia" w:ascii="仿宋_GB2312" w:hAnsi="仿宋_GB2312" w:cs="仿宋_GB2312"/>
          <w:bCs w:val="0"/>
          <w:szCs w:val="22"/>
        </w:rPr>
        <w:t>4</w:t>
      </w:r>
      <w:r>
        <w:rPr>
          <w:rFonts w:ascii="仿宋_GB2312" w:hAnsi="仿宋_GB2312" w:cs="仿宋_GB2312"/>
          <w:bCs w:val="0"/>
          <w:szCs w:val="22"/>
        </w:rPr>
        <w:t>.《中华人民共和国刑法》及其修</w:t>
      </w:r>
      <w:r>
        <w:rPr>
          <w:rFonts w:hint="eastAsia" w:ascii="仿宋_GB2312" w:hAnsi="仿宋_GB2312" w:cs="仿宋_GB2312"/>
          <w:bCs w:val="0"/>
          <w:szCs w:val="22"/>
        </w:rPr>
        <w:t>正</w:t>
      </w:r>
      <w:r>
        <w:rPr>
          <w:rFonts w:ascii="仿宋_GB2312" w:hAnsi="仿宋_GB2312" w:cs="仿宋_GB2312"/>
          <w:bCs w:val="0"/>
          <w:szCs w:val="22"/>
        </w:rPr>
        <w:t>案</w:t>
      </w:r>
      <w:r>
        <w:rPr>
          <w:rFonts w:hint="eastAsia" w:ascii="仿宋_GB2312" w:hAnsi="仿宋_GB2312" w:cs="仿宋_GB2312"/>
          <w:bCs w:val="0"/>
          <w:szCs w:val="22"/>
          <w:lang w:eastAsia="zh-CN"/>
        </w:rPr>
        <w:t>证券相关</w:t>
      </w:r>
      <w:r>
        <w:rPr>
          <w:rFonts w:ascii="仿宋_GB2312" w:hAnsi="仿宋_GB2312" w:cs="仿宋_GB2312"/>
          <w:bCs w:val="0"/>
          <w:szCs w:val="22"/>
          <w:highlight w:val="none"/>
        </w:rPr>
        <w:t>犯罪</w:t>
      </w:r>
      <w:r>
        <w:rPr>
          <w:rFonts w:hint="eastAsia" w:ascii="仿宋_GB2312" w:hAnsi="仿宋_GB2312" w:cs="仿宋_GB2312"/>
          <w:bCs w:val="0"/>
          <w:szCs w:val="22"/>
          <w:highlight w:val="none"/>
          <w:lang w:eastAsia="zh-CN"/>
        </w:rPr>
        <w:t>的</w:t>
      </w:r>
      <w:r>
        <w:rPr>
          <w:rFonts w:ascii="仿宋_GB2312" w:hAnsi="仿宋_GB2312" w:cs="仿宋_GB2312"/>
          <w:bCs w:val="0"/>
          <w:szCs w:val="22"/>
          <w:highlight w:val="none"/>
        </w:rPr>
        <w:t>规定</w:t>
      </w:r>
      <w:bookmarkEnd w:id="66"/>
      <w:bookmarkEnd w:id="67"/>
      <w:bookmarkEnd w:id="68"/>
      <w:r>
        <w:rPr>
          <w:rFonts w:hint="eastAsia" w:ascii="仿宋_GB2312" w:hAnsi="仿宋_GB2312" w:cs="仿宋_GB2312"/>
          <w:bCs w:val="0"/>
          <w:szCs w:val="22"/>
        </w:rPr>
        <w:t>（1979年7月6日公布，2023年12月29日最新修正，2024年3月1日起施行）</w:t>
      </w:r>
      <w:bookmarkEnd w:id="69"/>
      <w:bookmarkEnd w:id="70"/>
      <w:bookmarkEnd w:id="71"/>
      <w:bookmarkEnd w:id="72"/>
      <w:bookmarkEnd w:id="73"/>
      <w:bookmarkEnd w:id="74"/>
    </w:p>
    <w:p>
      <w:pPr>
        <w:ind w:firstLine="600" w:firstLineChars="200"/>
        <w:rPr>
          <w:rFonts w:ascii="Times New Roman" w:eastAsia="仿宋_GB2312"/>
          <w:color w:val="000000"/>
          <w:sz w:val="30"/>
          <w:szCs w:val="30"/>
        </w:rPr>
      </w:pPr>
      <w:bookmarkStart w:id="75" w:name="_Toc110431088"/>
      <w:bookmarkStart w:id="76" w:name="_Toc23050"/>
      <w:bookmarkStart w:id="77" w:name="_Toc110431177"/>
      <w:r>
        <w:rPr>
          <w:rFonts w:ascii="Times New Roman" w:eastAsia="仿宋_GB2312"/>
          <w:color w:val="000000"/>
          <w:sz w:val="30"/>
          <w:szCs w:val="30"/>
        </w:rPr>
        <w:t>掌握虚假出资</w:t>
      </w:r>
      <w:r>
        <w:rPr>
          <w:rFonts w:hint="eastAsia" w:ascii="Times New Roman" w:eastAsia="仿宋_GB2312"/>
          <w:color w:val="000000"/>
          <w:sz w:val="30"/>
          <w:szCs w:val="30"/>
        </w:rPr>
        <w:t>、抽逃出资</w:t>
      </w:r>
      <w:r>
        <w:rPr>
          <w:rFonts w:ascii="Times New Roman" w:eastAsia="仿宋_GB2312"/>
          <w:color w:val="000000"/>
          <w:sz w:val="30"/>
          <w:szCs w:val="30"/>
        </w:rPr>
        <w:t>罪的构成要件</w:t>
      </w:r>
      <w:r>
        <w:rPr>
          <w:rFonts w:hint="eastAsia" w:ascii="Times New Roman" w:eastAsia="仿宋_GB2312"/>
          <w:color w:val="000000"/>
          <w:sz w:val="30"/>
          <w:szCs w:val="30"/>
        </w:rPr>
        <w:t>；</w:t>
      </w:r>
      <w:r>
        <w:rPr>
          <w:rFonts w:ascii="Times New Roman" w:eastAsia="仿宋_GB2312"/>
          <w:color w:val="000000"/>
          <w:sz w:val="30"/>
          <w:szCs w:val="30"/>
        </w:rPr>
        <w:t>掌握欺诈发行</w:t>
      </w:r>
      <w:r>
        <w:rPr>
          <w:rFonts w:hint="eastAsia" w:ascii="Times New Roman" w:eastAsia="仿宋_GB2312"/>
          <w:color w:val="000000"/>
          <w:sz w:val="30"/>
          <w:szCs w:val="30"/>
        </w:rPr>
        <w:t>证券</w:t>
      </w:r>
      <w:r>
        <w:rPr>
          <w:rFonts w:ascii="Times New Roman" w:eastAsia="仿宋_GB2312"/>
          <w:color w:val="000000"/>
          <w:sz w:val="30"/>
          <w:szCs w:val="30"/>
        </w:rPr>
        <w:t>罪的构成要件</w:t>
      </w:r>
      <w:r>
        <w:rPr>
          <w:rFonts w:hint="eastAsia" w:ascii="Times New Roman" w:eastAsia="仿宋_GB2312"/>
          <w:color w:val="000000"/>
          <w:sz w:val="30"/>
          <w:szCs w:val="30"/>
        </w:rPr>
        <w:t>；</w:t>
      </w:r>
      <w:r>
        <w:rPr>
          <w:rFonts w:ascii="Times New Roman" w:eastAsia="仿宋_GB2312"/>
          <w:color w:val="000000"/>
          <w:sz w:val="30"/>
          <w:szCs w:val="30"/>
        </w:rPr>
        <w:t>掌握</w:t>
      </w:r>
      <w:r>
        <w:rPr>
          <w:rFonts w:hint="eastAsia" w:ascii="Times New Roman" w:eastAsia="仿宋_GB2312"/>
          <w:color w:val="000000"/>
          <w:sz w:val="30"/>
          <w:szCs w:val="30"/>
        </w:rPr>
        <w:t>违规披露、不披露重要信息罪</w:t>
      </w:r>
      <w:r>
        <w:rPr>
          <w:rFonts w:ascii="Times New Roman" w:eastAsia="仿宋_GB2312"/>
          <w:color w:val="000000"/>
          <w:sz w:val="30"/>
          <w:szCs w:val="30"/>
        </w:rPr>
        <w:t>的构成要件</w:t>
      </w:r>
      <w:r>
        <w:rPr>
          <w:rFonts w:hint="eastAsia" w:ascii="Times New Roman" w:eastAsia="仿宋_GB2312"/>
          <w:color w:val="000000"/>
          <w:sz w:val="30"/>
          <w:szCs w:val="30"/>
        </w:rPr>
        <w:t>；</w:t>
      </w:r>
      <w:r>
        <w:rPr>
          <w:rFonts w:ascii="Times New Roman" w:eastAsia="仿宋_GB2312"/>
          <w:color w:val="000000"/>
          <w:sz w:val="30"/>
          <w:szCs w:val="30"/>
        </w:rPr>
        <w:t>掌握</w:t>
      </w:r>
      <w:r>
        <w:rPr>
          <w:rFonts w:hint="eastAsia" w:ascii="Times New Roman" w:eastAsia="仿宋_GB2312"/>
          <w:color w:val="000000"/>
          <w:sz w:val="30"/>
          <w:szCs w:val="30"/>
        </w:rPr>
        <w:t>行贿罪、对非国家工作人员行贿罪、</w:t>
      </w:r>
      <w:r>
        <w:rPr>
          <w:rFonts w:ascii="Times New Roman" w:eastAsia="仿宋_GB2312"/>
          <w:color w:val="000000"/>
          <w:sz w:val="30"/>
          <w:szCs w:val="30"/>
        </w:rPr>
        <w:t>非国家工作人员受贿罪</w:t>
      </w:r>
      <w:r>
        <w:rPr>
          <w:rFonts w:hint="eastAsia" w:ascii="Times New Roman" w:eastAsia="仿宋_GB2312"/>
          <w:color w:val="000000"/>
          <w:sz w:val="30"/>
          <w:szCs w:val="30"/>
        </w:rPr>
        <w:t>、为亲友非法牟利罪</w:t>
      </w:r>
      <w:r>
        <w:rPr>
          <w:rFonts w:ascii="Times New Roman" w:eastAsia="仿宋_GB2312"/>
          <w:color w:val="000000"/>
          <w:sz w:val="30"/>
          <w:szCs w:val="30"/>
        </w:rPr>
        <w:t>的构成要件；熟悉</w:t>
      </w:r>
      <w:r>
        <w:rPr>
          <w:rFonts w:hint="eastAsia" w:ascii="Times New Roman" w:eastAsia="仿宋_GB2312"/>
          <w:color w:val="000000"/>
          <w:sz w:val="30"/>
          <w:szCs w:val="30"/>
        </w:rPr>
        <w:t>伪造、变造股票、公司、企业债券罪</w:t>
      </w:r>
      <w:r>
        <w:rPr>
          <w:rFonts w:ascii="Times New Roman" w:eastAsia="仿宋_GB2312"/>
          <w:color w:val="000000"/>
          <w:sz w:val="30"/>
          <w:szCs w:val="30"/>
        </w:rPr>
        <w:t>的构成要件</w:t>
      </w:r>
      <w:r>
        <w:rPr>
          <w:rFonts w:hint="eastAsia" w:ascii="Times New Roman" w:eastAsia="仿宋_GB2312"/>
          <w:color w:val="000000"/>
          <w:sz w:val="30"/>
          <w:szCs w:val="30"/>
        </w:rPr>
        <w:t>；</w:t>
      </w:r>
      <w:r>
        <w:rPr>
          <w:rFonts w:ascii="Times New Roman" w:eastAsia="仿宋_GB2312"/>
          <w:color w:val="000000"/>
          <w:sz w:val="30"/>
          <w:szCs w:val="30"/>
        </w:rPr>
        <w:t>熟悉</w:t>
      </w:r>
      <w:r>
        <w:rPr>
          <w:rFonts w:hint="eastAsia" w:ascii="Times New Roman" w:eastAsia="仿宋_GB2312"/>
          <w:color w:val="000000"/>
          <w:sz w:val="30"/>
          <w:szCs w:val="30"/>
        </w:rPr>
        <w:t>擅自发行股票、公司、企业债券罪</w:t>
      </w:r>
      <w:r>
        <w:rPr>
          <w:rFonts w:ascii="Times New Roman" w:eastAsia="仿宋_GB2312"/>
          <w:color w:val="000000"/>
          <w:sz w:val="30"/>
          <w:szCs w:val="30"/>
        </w:rPr>
        <w:t>的构成要件</w:t>
      </w:r>
      <w:r>
        <w:rPr>
          <w:rFonts w:hint="eastAsia" w:ascii="Times New Roman" w:eastAsia="仿宋_GB2312"/>
          <w:color w:val="000000"/>
          <w:sz w:val="30"/>
          <w:szCs w:val="30"/>
        </w:rPr>
        <w:t>；</w:t>
      </w:r>
      <w:r>
        <w:rPr>
          <w:rFonts w:ascii="Times New Roman" w:eastAsia="仿宋_GB2312"/>
          <w:color w:val="000000"/>
          <w:sz w:val="30"/>
          <w:szCs w:val="30"/>
        </w:rPr>
        <w:t>掌握内幕交易、泄露内幕信息罪的构成要件；</w:t>
      </w:r>
      <w:r>
        <w:rPr>
          <w:rFonts w:hint="eastAsia" w:ascii="Times New Roman" w:eastAsia="仿宋_GB2312"/>
          <w:color w:val="000000"/>
          <w:sz w:val="30"/>
          <w:szCs w:val="30"/>
        </w:rPr>
        <w:t>掌握</w:t>
      </w:r>
      <w:r>
        <w:rPr>
          <w:rFonts w:ascii="Times New Roman" w:eastAsia="仿宋_GB2312"/>
          <w:color w:val="000000"/>
          <w:sz w:val="30"/>
          <w:szCs w:val="30"/>
        </w:rPr>
        <w:t>利用未公开信息交易罪的构成要件</w:t>
      </w:r>
      <w:r>
        <w:rPr>
          <w:rFonts w:hint="eastAsia" w:ascii="Times New Roman" w:eastAsia="仿宋_GB2312"/>
          <w:color w:val="000000"/>
          <w:sz w:val="30"/>
          <w:szCs w:val="30"/>
        </w:rPr>
        <w:t>；</w:t>
      </w:r>
      <w:r>
        <w:rPr>
          <w:rFonts w:ascii="Times New Roman" w:eastAsia="仿宋_GB2312"/>
          <w:color w:val="000000"/>
          <w:sz w:val="30"/>
          <w:szCs w:val="30"/>
        </w:rPr>
        <w:t>熟悉编造并传播证券、期货交易虚假信息罪的构成要件；</w:t>
      </w:r>
      <w:r>
        <w:rPr>
          <w:rFonts w:hint="eastAsia" w:ascii="Times New Roman" w:eastAsia="仿宋_GB2312"/>
          <w:color w:val="000000"/>
          <w:sz w:val="30"/>
          <w:szCs w:val="30"/>
        </w:rPr>
        <w:t>掌握</w:t>
      </w:r>
      <w:r>
        <w:rPr>
          <w:rFonts w:ascii="Times New Roman" w:eastAsia="仿宋_GB2312"/>
          <w:color w:val="000000"/>
          <w:sz w:val="30"/>
          <w:szCs w:val="30"/>
        </w:rPr>
        <w:t>诱骗投资者买卖证券、期货合约罪的构成要件</w:t>
      </w:r>
      <w:r>
        <w:rPr>
          <w:rFonts w:hint="eastAsia" w:ascii="Times New Roman" w:eastAsia="仿宋_GB2312"/>
          <w:color w:val="000000"/>
          <w:sz w:val="30"/>
          <w:szCs w:val="30"/>
        </w:rPr>
        <w:t>；熟悉</w:t>
      </w:r>
      <w:r>
        <w:rPr>
          <w:rFonts w:ascii="Times New Roman" w:eastAsia="仿宋_GB2312"/>
          <w:color w:val="000000"/>
          <w:sz w:val="30"/>
          <w:szCs w:val="30"/>
        </w:rPr>
        <w:t>操纵证券</w:t>
      </w:r>
      <w:r>
        <w:rPr>
          <w:rFonts w:hint="eastAsia" w:ascii="Times New Roman" w:eastAsia="仿宋_GB2312"/>
          <w:color w:val="000000"/>
          <w:sz w:val="30"/>
          <w:szCs w:val="30"/>
        </w:rPr>
        <w:t>、</w:t>
      </w:r>
      <w:r>
        <w:rPr>
          <w:rFonts w:ascii="Times New Roman" w:eastAsia="仿宋_GB2312"/>
          <w:color w:val="000000"/>
          <w:sz w:val="30"/>
          <w:szCs w:val="30"/>
        </w:rPr>
        <w:t>期货市场罪的构成要件</w:t>
      </w:r>
      <w:r>
        <w:rPr>
          <w:rFonts w:hint="eastAsia" w:ascii="Times New Roman" w:eastAsia="仿宋_GB2312"/>
          <w:color w:val="000000"/>
          <w:sz w:val="30"/>
          <w:szCs w:val="30"/>
        </w:rPr>
        <w:t>；</w:t>
      </w:r>
      <w:r>
        <w:rPr>
          <w:rFonts w:ascii="Times New Roman" w:eastAsia="仿宋_GB2312"/>
          <w:color w:val="000000"/>
          <w:sz w:val="30"/>
          <w:szCs w:val="30"/>
        </w:rPr>
        <w:t>熟悉洗钱罪的构成要件</w:t>
      </w:r>
      <w:r>
        <w:rPr>
          <w:rFonts w:hint="eastAsia" w:ascii="Times New Roman" w:eastAsia="仿宋_GB2312"/>
          <w:color w:val="000000"/>
          <w:sz w:val="30"/>
          <w:szCs w:val="30"/>
        </w:rPr>
        <w:t>；</w:t>
      </w:r>
      <w:r>
        <w:rPr>
          <w:rFonts w:ascii="Times New Roman" w:eastAsia="仿宋_GB2312"/>
          <w:color w:val="000000"/>
          <w:sz w:val="30"/>
          <w:szCs w:val="30"/>
        </w:rPr>
        <w:t>掌握侵犯商业秘密罪的构成要件；掌握</w:t>
      </w:r>
      <w:r>
        <w:rPr>
          <w:rFonts w:hint="eastAsia" w:ascii="Times New Roman" w:eastAsia="仿宋_GB2312"/>
          <w:color w:val="000000"/>
          <w:sz w:val="30"/>
          <w:szCs w:val="30"/>
        </w:rPr>
        <w:t>提供虚假证明文件</w:t>
      </w:r>
      <w:r>
        <w:rPr>
          <w:rFonts w:ascii="Times New Roman" w:eastAsia="仿宋_GB2312"/>
          <w:color w:val="000000"/>
          <w:sz w:val="30"/>
          <w:szCs w:val="30"/>
        </w:rPr>
        <w:t>罪</w:t>
      </w:r>
      <w:r>
        <w:rPr>
          <w:rFonts w:hint="eastAsia" w:ascii="Times New Roman" w:eastAsia="仿宋_GB2312"/>
          <w:color w:val="000000"/>
          <w:sz w:val="30"/>
          <w:szCs w:val="30"/>
        </w:rPr>
        <w:t>、</w:t>
      </w:r>
      <w:r>
        <w:rPr>
          <w:rFonts w:ascii="Times New Roman" w:eastAsia="仿宋_GB2312"/>
          <w:color w:val="000000"/>
          <w:sz w:val="30"/>
          <w:szCs w:val="30"/>
        </w:rPr>
        <w:t>出具证明文件重大失实罪的构成要件</w:t>
      </w:r>
      <w:r>
        <w:rPr>
          <w:rFonts w:hint="eastAsia" w:ascii="Times New Roman" w:eastAsia="仿宋_GB2312"/>
          <w:color w:val="000000"/>
          <w:sz w:val="30"/>
          <w:szCs w:val="30"/>
        </w:rPr>
        <w:t>。</w:t>
      </w:r>
      <w:bookmarkEnd w:id="75"/>
      <w:bookmarkEnd w:id="76"/>
      <w:bookmarkEnd w:id="77"/>
    </w:p>
    <w:p>
      <w:pPr>
        <w:pStyle w:val="4"/>
        <w:ind w:firstLine="602"/>
        <w:rPr>
          <w:rFonts w:ascii="仿宋_GB2312" w:hAnsi="仿宋_GB2312" w:cs="仿宋_GB2312"/>
          <w:bCs w:val="0"/>
          <w:szCs w:val="22"/>
        </w:rPr>
      </w:pPr>
      <w:bookmarkStart w:id="78" w:name="_Toc1630852671"/>
      <w:bookmarkStart w:id="79" w:name="_Toc1984238340"/>
      <w:bookmarkStart w:id="80" w:name="_Toc24650"/>
      <w:bookmarkStart w:id="81" w:name="_Toc16300"/>
      <w:bookmarkStart w:id="82" w:name="_Toc253064702"/>
      <w:bookmarkStart w:id="83" w:name="_Toc32494"/>
      <w:bookmarkStart w:id="84" w:name="_Toc1927483608"/>
      <w:bookmarkStart w:id="85" w:name="_Toc1481646308"/>
      <w:bookmarkStart w:id="86" w:name="_Toc110431089"/>
      <w:r>
        <w:rPr>
          <w:rFonts w:hint="eastAsia" w:ascii="仿宋_GB2312" w:hAnsi="仿宋_GB2312" w:cs="仿宋_GB2312"/>
          <w:bCs w:val="0"/>
          <w:szCs w:val="22"/>
        </w:rPr>
        <w:t>5.《中华人民共和国预算法》（1994年3月22日公布，2018年12月29日最新修正并施行）</w:t>
      </w:r>
      <w:bookmarkEnd w:id="78"/>
      <w:bookmarkEnd w:id="79"/>
      <w:bookmarkEnd w:id="80"/>
      <w:bookmarkEnd w:id="81"/>
      <w:bookmarkEnd w:id="82"/>
      <w:bookmarkEnd w:id="83"/>
      <w:bookmarkEnd w:id="84"/>
      <w:bookmarkEnd w:id="85"/>
      <w:bookmarkEnd w:id="86"/>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五级预算的内容；掌握预算的分类与概念；熟悉财政转移支付制度；掌握一般公共预算收支范围；了解预算编制的原则与方法；熟悉预算收入征收和预算支出拨付的规定；了解一般公共预算年度执行中超收、短收的规定。</w:t>
      </w:r>
      <w:bookmarkStart w:id="87" w:name="_Hlk14261878"/>
    </w:p>
    <w:p>
      <w:pPr>
        <w:pStyle w:val="4"/>
        <w:ind w:firstLine="602"/>
        <w:rPr>
          <w:rFonts w:ascii="仿宋_GB2312" w:hAnsi="仿宋_GB2312" w:cs="仿宋_GB2312"/>
          <w:bCs w:val="0"/>
          <w:szCs w:val="22"/>
        </w:rPr>
      </w:pPr>
      <w:bookmarkStart w:id="88" w:name="_Toc110431090"/>
      <w:bookmarkStart w:id="89" w:name="_Toc28375"/>
      <w:bookmarkStart w:id="90" w:name="_Toc841028121"/>
      <w:bookmarkStart w:id="91" w:name="_Toc23125"/>
      <w:bookmarkStart w:id="92" w:name="_Toc1303235520"/>
      <w:bookmarkStart w:id="93" w:name="_Toc307492232"/>
      <w:bookmarkStart w:id="94" w:name="_Toc2049426783"/>
      <w:bookmarkStart w:id="95" w:name="_Toc885863952"/>
      <w:bookmarkStart w:id="96" w:name="_Toc13895"/>
      <w:r>
        <w:rPr>
          <w:rFonts w:hint="eastAsia" w:ascii="宋体" w:hAnsi="宋体"/>
          <w:szCs w:val="36"/>
        </w:rPr>
        <w:t>6</w:t>
      </w:r>
      <w:r>
        <w:rPr>
          <w:rFonts w:hint="eastAsia" w:ascii="仿宋_GB2312" w:hAnsi="仿宋_GB2312" w:cs="仿宋_GB2312"/>
          <w:bCs w:val="0"/>
          <w:szCs w:val="22"/>
        </w:rPr>
        <w:t>.《企业债券管理条例》（1993年8月2日公布，2011年1月8日最新修订并施行）</w:t>
      </w:r>
      <w:bookmarkEnd w:id="88"/>
      <w:bookmarkEnd w:id="89"/>
      <w:bookmarkEnd w:id="90"/>
      <w:bookmarkEnd w:id="91"/>
      <w:bookmarkEnd w:id="92"/>
      <w:bookmarkEnd w:id="93"/>
      <w:bookmarkEnd w:id="94"/>
      <w:bookmarkEnd w:id="95"/>
      <w:bookmarkEnd w:id="96"/>
    </w:p>
    <w:bookmarkEnd w:id="87"/>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掌握企业债券的定义；熟悉企业债券持有人的权利和责任；了解相关法律责任。</w:t>
      </w:r>
    </w:p>
    <w:p>
      <w:pPr>
        <w:pStyle w:val="3"/>
        <w:ind w:firstLine="602"/>
        <w:rPr>
          <w:rFonts w:ascii="宋体" w:hAnsi="宋体"/>
          <w:szCs w:val="36"/>
        </w:rPr>
      </w:pPr>
      <w:bookmarkStart w:id="97" w:name="_Toc719611571"/>
      <w:bookmarkStart w:id="98" w:name="_Toc465010151"/>
      <w:bookmarkStart w:id="99" w:name="_Toc637618208"/>
      <w:bookmarkStart w:id="100" w:name="_Toc1719205412"/>
      <w:bookmarkStart w:id="101" w:name="_Toc1599202272"/>
      <w:bookmarkStart w:id="102" w:name="_Toc23299"/>
      <w:r>
        <w:rPr>
          <w:rFonts w:hint="eastAsia" w:ascii="宋体" w:hAnsi="宋体"/>
          <w:szCs w:val="36"/>
        </w:rPr>
        <w:t>（三）部门规章、规范性文件及自律规则</w:t>
      </w:r>
      <w:bookmarkEnd w:id="97"/>
      <w:bookmarkEnd w:id="98"/>
      <w:bookmarkEnd w:id="99"/>
      <w:bookmarkEnd w:id="100"/>
      <w:bookmarkEnd w:id="101"/>
      <w:bookmarkEnd w:id="102"/>
    </w:p>
    <w:p>
      <w:pPr>
        <w:pStyle w:val="4"/>
        <w:ind w:firstLine="602"/>
        <w:rPr>
          <w:rFonts w:ascii="仿宋_GB2312" w:hAnsi="仿宋_GB2312" w:cs="仿宋_GB2312"/>
          <w:bCs w:val="0"/>
          <w:szCs w:val="22"/>
        </w:rPr>
      </w:pPr>
      <w:bookmarkStart w:id="103" w:name="_Toc8056"/>
      <w:bookmarkStart w:id="104" w:name="_Toc1403650077"/>
      <w:bookmarkStart w:id="105" w:name="_Toc505357296"/>
      <w:bookmarkStart w:id="106" w:name="_Toc30729411"/>
      <w:bookmarkStart w:id="107" w:name="_Toc1388535221"/>
      <w:bookmarkStart w:id="108" w:name="_Toc276980079"/>
      <w:r>
        <w:rPr>
          <w:rFonts w:hint="eastAsia" w:ascii="仿宋_GB2312" w:hAnsi="仿宋_GB2312" w:cs="仿宋_GB2312"/>
          <w:bCs w:val="0"/>
          <w:szCs w:val="22"/>
        </w:rPr>
        <w:t>1.《证券期货经营机构及其工作人员廉洁从业规定》（2018年6月27日公布，2022年8月12日最新修</w:t>
      </w:r>
      <w:r>
        <w:rPr>
          <w:rFonts w:hint="eastAsia" w:ascii="仿宋_GB2312" w:hAnsi="仿宋_GB2312" w:cs="仿宋_GB2312"/>
          <w:bCs w:val="0"/>
          <w:szCs w:val="22"/>
          <w:lang w:eastAsia="zh-CN"/>
        </w:rPr>
        <w:t>订</w:t>
      </w:r>
      <w:r>
        <w:rPr>
          <w:rFonts w:hint="eastAsia" w:ascii="仿宋_GB2312" w:hAnsi="仿宋_GB2312" w:cs="仿宋_GB2312"/>
          <w:bCs w:val="0"/>
          <w:szCs w:val="22"/>
        </w:rPr>
        <w:t>并施行）及《证券经营机构及其工作人员廉洁从业实施细则》（2023年7月21日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w:t>
      </w:r>
      <w:bookmarkEnd w:id="103"/>
      <w:bookmarkEnd w:id="104"/>
      <w:bookmarkEnd w:id="105"/>
      <w:bookmarkEnd w:id="106"/>
      <w:bookmarkEnd w:id="107"/>
      <w:bookmarkEnd w:id="108"/>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掌握廉洁从业的定义和对证券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及其工作人员的廉洁从业情况进行监督、检查的规定；掌握证券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廉洁从业制度体系建设的规定；掌握证券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应当将工作人员廉洁从业纳入工作人员管理体系的规定；掌握证券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及其工作人员廉洁从业的一般禁止性规定；熟悉证券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应当履行的廉洁从业报告义务；掌握证券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开展廉洁从业内部检查、问题整改及责任追究的规定；掌握证券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廉洁从业风险防控责任主体的规定；掌握证券</w:t>
      </w:r>
      <w:r>
        <w:rPr>
          <w:rFonts w:hint="eastAsia" w:ascii="仿宋_GB2312" w:hAnsi="仿宋_GB2312" w:eastAsia="仿宋_GB2312" w:cs="仿宋_GB2312"/>
          <w:sz w:val="30"/>
        </w:rPr>
        <w:t>资信评级机构</w:t>
      </w:r>
      <w:r>
        <w:rPr>
          <w:rFonts w:hint="eastAsia" w:ascii="Times New Roman" w:eastAsia="仿宋_GB2312"/>
          <w:color w:val="000000"/>
          <w:sz w:val="30"/>
          <w:szCs w:val="30"/>
        </w:rPr>
        <w:t>廉洁从业规范和廉洁文化建设的内容。</w:t>
      </w:r>
    </w:p>
    <w:p>
      <w:pPr>
        <w:pStyle w:val="4"/>
        <w:ind w:firstLine="602"/>
        <w:rPr>
          <w:rFonts w:ascii="仿宋_GB2312" w:hAnsi="仿宋_GB2312" w:cs="仿宋_GB2312"/>
          <w:bCs w:val="0"/>
          <w:szCs w:val="22"/>
        </w:rPr>
      </w:pPr>
      <w:bookmarkStart w:id="109" w:name="_Toc603861995"/>
      <w:bookmarkStart w:id="110" w:name="_Toc16667"/>
      <w:bookmarkStart w:id="111" w:name="_Toc1831298868"/>
      <w:bookmarkStart w:id="112" w:name="_Toc905766448"/>
      <w:bookmarkStart w:id="113" w:name="_Toc844796900"/>
      <w:bookmarkStart w:id="114" w:name="_Toc1769981653"/>
      <w:r>
        <w:rPr>
          <w:rFonts w:hint="eastAsia" w:ascii="仿宋_GB2312" w:hAnsi="仿宋_GB2312" w:cs="仿宋_GB2312"/>
          <w:bCs w:val="0"/>
          <w:szCs w:val="22"/>
        </w:rPr>
        <w:t>2.《证券期货市场诚信监督管理办法》（2018年3月28日公布，2020年3月20日最新修</w:t>
      </w:r>
      <w:r>
        <w:rPr>
          <w:rFonts w:hint="eastAsia" w:ascii="仿宋_GB2312" w:hAnsi="仿宋_GB2312" w:cs="仿宋_GB2312"/>
          <w:bCs w:val="0"/>
          <w:szCs w:val="22"/>
          <w:lang w:eastAsia="zh-CN"/>
        </w:rPr>
        <w:t>订</w:t>
      </w:r>
      <w:r>
        <w:rPr>
          <w:rFonts w:hint="eastAsia" w:ascii="仿宋_GB2312" w:hAnsi="仿宋_GB2312" w:cs="仿宋_GB2312"/>
          <w:bCs w:val="0"/>
          <w:szCs w:val="22"/>
        </w:rPr>
        <w:t>并施行）</w:t>
      </w:r>
      <w:bookmarkEnd w:id="109"/>
      <w:bookmarkEnd w:id="110"/>
      <w:bookmarkEnd w:id="111"/>
      <w:bookmarkEnd w:id="112"/>
      <w:bookmarkEnd w:id="113"/>
      <w:bookmarkEnd w:id="114"/>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熟悉诚信信息的采集和管理的规定；熟悉违法失信信息的效力期限；掌握诚信信息的公开与查询的规定；了解诚信约束、激励与引导机制。</w:t>
      </w:r>
    </w:p>
    <w:p>
      <w:pPr>
        <w:pStyle w:val="4"/>
        <w:ind w:firstLine="602"/>
        <w:rPr>
          <w:rFonts w:ascii="仿宋_GB2312" w:hAnsi="仿宋_GB2312" w:cs="仿宋_GB2312"/>
          <w:bCs w:val="0"/>
          <w:szCs w:val="22"/>
        </w:rPr>
      </w:pPr>
      <w:bookmarkStart w:id="115" w:name="_Toc1578471659"/>
      <w:bookmarkStart w:id="116" w:name="_Toc1590537046"/>
      <w:bookmarkStart w:id="117" w:name="_Toc322805823"/>
      <w:bookmarkStart w:id="118" w:name="_Toc12635"/>
      <w:bookmarkStart w:id="119" w:name="_Toc1753935034"/>
      <w:bookmarkStart w:id="120" w:name="_Toc1742390826"/>
      <w:r>
        <w:rPr>
          <w:rFonts w:hint="eastAsia" w:ascii="仿宋_GB2312" w:hAnsi="仿宋_GB2312" w:cs="仿宋_GB2312"/>
          <w:bCs w:val="0"/>
          <w:szCs w:val="22"/>
        </w:rPr>
        <w:t>3.《证券行业诚信准则》（2022年5月20日发布并施</w:t>
      </w:r>
      <w:r>
        <w:rPr>
          <w:rFonts w:hint="eastAsia" w:ascii="仿宋_GB2312" w:hAnsi="仿宋_GB2312" w:cs="仿宋_GB2312"/>
          <w:bCs w:val="0"/>
          <w:szCs w:val="22"/>
          <w:lang w:eastAsia="zh-CN"/>
        </w:rPr>
        <w:t>行</w:t>
      </w:r>
      <w:r>
        <w:rPr>
          <w:rFonts w:hint="eastAsia" w:ascii="仿宋_GB2312" w:hAnsi="仿宋_GB2312" w:cs="仿宋_GB2312"/>
          <w:bCs w:val="0"/>
          <w:szCs w:val="22"/>
        </w:rPr>
        <w:t>）</w:t>
      </w:r>
      <w:bookmarkEnd w:id="115"/>
      <w:bookmarkEnd w:id="116"/>
      <w:bookmarkEnd w:id="117"/>
      <w:bookmarkEnd w:id="118"/>
      <w:bookmarkEnd w:id="119"/>
      <w:bookmarkEnd w:id="120"/>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掌握证券评级机构及其工作人员对投资者及行业的义务、对客户的义务、配合监管、自律管理的义务；掌握证券评级机构的诚信从业管理责任；了解中国证券业协会对证券行业诚信建设的自律管理机制及措施。</w:t>
      </w:r>
    </w:p>
    <w:p>
      <w:pPr>
        <w:pStyle w:val="4"/>
        <w:ind w:firstLine="602"/>
        <w:rPr>
          <w:rFonts w:ascii="仿宋_GB2312" w:hAnsi="仿宋_GB2312" w:cs="仿宋_GB2312"/>
          <w:bCs w:val="0"/>
          <w:szCs w:val="22"/>
        </w:rPr>
      </w:pPr>
      <w:bookmarkStart w:id="121" w:name="_Toc617044405"/>
      <w:bookmarkStart w:id="122" w:name="_Toc1743648665"/>
      <w:bookmarkStart w:id="123" w:name="_Toc14996"/>
      <w:bookmarkStart w:id="124" w:name="_Toc657050979"/>
      <w:bookmarkStart w:id="125" w:name="_Toc1560205291"/>
      <w:bookmarkStart w:id="126" w:name="_Toc1175323324"/>
      <w:r>
        <w:rPr>
          <w:rFonts w:hint="eastAsia" w:ascii="仿宋_GB2312" w:hAnsi="仿宋_GB2312" w:cs="仿宋_GB2312"/>
          <w:bCs w:val="0"/>
          <w:szCs w:val="22"/>
        </w:rPr>
        <w:t>4.《证券行业执业声誉信息管理办法》（2022年5月20日发布，2022年9月1日起</w:t>
      </w:r>
      <w:r>
        <w:rPr>
          <w:rFonts w:hint="eastAsia" w:ascii="仿宋_GB2312" w:hAnsi="仿宋_GB2312" w:cs="仿宋_GB2312"/>
          <w:bCs w:val="0"/>
          <w:szCs w:val="22"/>
          <w:lang w:eastAsia="zh-CN"/>
        </w:rPr>
        <w:t>施行</w:t>
      </w:r>
      <w:r>
        <w:rPr>
          <w:rFonts w:hint="eastAsia" w:ascii="仿宋_GB2312" w:hAnsi="仿宋_GB2312" w:cs="仿宋_GB2312"/>
          <w:bCs w:val="0"/>
          <w:szCs w:val="22"/>
        </w:rPr>
        <w:t>）</w:t>
      </w:r>
      <w:bookmarkEnd w:id="121"/>
      <w:bookmarkEnd w:id="122"/>
      <w:bookmarkEnd w:id="123"/>
      <w:bookmarkEnd w:id="124"/>
      <w:bookmarkEnd w:id="125"/>
      <w:bookmarkEnd w:id="126"/>
    </w:p>
    <w:p>
      <w:pPr>
        <w:numPr>
          <w:ilvl w:val="-1"/>
          <w:numId w:val="0"/>
        </w:numPr>
        <w:ind w:firstLine="600" w:firstLineChars="200"/>
        <w:rPr>
          <w:rFonts w:hint="eastAsia" w:ascii="Times New Roman" w:hAnsi="Calibri" w:eastAsia="仿宋_GB2312" w:cs="Times New Roman"/>
          <w:b w:val="0"/>
          <w:color w:val="000000"/>
          <w:sz w:val="30"/>
          <w:szCs w:val="30"/>
        </w:rPr>
      </w:pPr>
      <w:r>
        <w:rPr>
          <w:rFonts w:hint="eastAsia" w:ascii="Times New Roman" w:eastAsia="仿宋_GB2312"/>
          <w:color w:val="000000"/>
          <w:sz w:val="30"/>
          <w:szCs w:val="30"/>
        </w:rPr>
        <w:t>熟悉</w:t>
      </w:r>
      <w:r>
        <w:rPr>
          <w:rFonts w:hint="eastAsia" w:ascii="Times New Roman" w:hAnsi="Calibri" w:eastAsia="仿宋_GB2312"/>
          <w:color w:val="000000"/>
          <w:sz w:val="30"/>
          <w:szCs w:val="30"/>
        </w:rPr>
        <w:t>执业声誉信息的内容；了解</w:t>
      </w:r>
      <w:r>
        <w:rPr>
          <w:rFonts w:hint="eastAsia" w:ascii="Times New Roman" w:hAnsi="Calibri" w:eastAsia="仿宋_GB2312"/>
          <w:color w:val="000000"/>
          <w:sz w:val="30"/>
          <w:szCs w:val="30"/>
          <w:lang w:val="en-GB"/>
        </w:rPr>
        <w:t>执业声誉信息</w:t>
      </w:r>
      <w:r>
        <w:rPr>
          <w:rFonts w:hint="eastAsia" w:ascii="Times New Roman" w:hAnsi="Calibri" w:eastAsia="仿宋_GB2312"/>
          <w:color w:val="000000"/>
          <w:sz w:val="30"/>
          <w:szCs w:val="30"/>
        </w:rPr>
        <w:t>的来源；了解</w:t>
      </w:r>
      <w:r>
        <w:rPr>
          <w:rFonts w:hint="eastAsia" w:ascii="Times New Roman" w:hAnsi="Calibri" w:eastAsia="仿宋_GB2312"/>
          <w:color w:val="000000"/>
          <w:sz w:val="30"/>
          <w:szCs w:val="30"/>
          <w:lang w:val="en-GB"/>
        </w:rPr>
        <w:t>执业声誉信息</w:t>
      </w:r>
      <w:r>
        <w:rPr>
          <w:rFonts w:hint="eastAsia" w:ascii="Times New Roman" w:hAnsi="Calibri" w:eastAsia="仿宋_GB2312"/>
          <w:color w:val="000000"/>
          <w:sz w:val="30"/>
          <w:szCs w:val="30"/>
        </w:rPr>
        <w:t>自律管理的相关规定。</w:t>
      </w:r>
    </w:p>
    <w:p>
      <w:pPr>
        <w:pStyle w:val="4"/>
        <w:ind w:firstLine="602"/>
        <w:rPr>
          <w:rFonts w:ascii="仿宋_GB2312" w:hAnsi="仿宋_GB2312" w:cs="仿宋_GB2312"/>
          <w:bCs w:val="0"/>
          <w:szCs w:val="22"/>
        </w:rPr>
      </w:pPr>
      <w:bookmarkStart w:id="127" w:name="_Toc1674227101"/>
      <w:bookmarkStart w:id="128" w:name="_Toc1711573971"/>
      <w:bookmarkStart w:id="129" w:name="_Toc853709091"/>
      <w:bookmarkStart w:id="130" w:name="_Toc1832412753"/>
      <w:bookmarkStart w:id="131" w:name="_Toc348408961"/>
      <w:bookmarkStart w:id="132" w:name="_Toc17581"/>
      <w:r>
        <w:rPr>
          <w:rFonts w:hint="eastAsia" w:ascii="仿宋_GB2312" w:hAnsi="仿宋_GB2312" w:cs="仿宋_GB2312"/>
          <w:bCs w:val="0"/>
          <w:szCs w:val="22"/>
        </w:rPr>
        <w:t>5.《证券从业人员职业道德准则》（202</w:t>
      </w:r>
      <w:r>
        <w:rPr>
          <w:rFonts w:hint="eastAsia" w:ascii="仿宋_GB2312" w:hAnsi="仿宋_GB2312" w:cs="仿宋_GB2312"/>
          <w:bCs w:val="0"/>
          <w:szCs w:val="22"/>
          <w:lang w:val="en-US" w:eastAsia="zh-CN"/>
        </w:rPr>
        <w:t>4</w:t>
      </w:r>
      <w:r>
        <w:rPr>
          <w:rFonts w:hint="eastAsia" w:ascii="仿宋_GB2312" w:hAnsi="仿宋_GB2312" w:cs="仿宋_GB2312"/>
          <w:bCs w:val="0"/>
          <w:szCs w:val="22"/>
        </w:rPr>
        <w:t>年</w:t>
      </w:r>
      <w:r>
        <w:rPr>
          <w:rFonts w:hint="eastAsia" w:ascii="仿宋_GB2312" w:hAnsi="仿宋_GB2312" w:cs="仿宋_GB2312"/>
          <w:bCs w:val="0"/>
          <w:szCs w:val="22"/>
          <w:lang w:val="en-US" w:eastAsia="zh-CN"/>
        </w:rPr>
        <w:t>9</w:t>
      </w:r>
      <w:r>
        <w:rPr>
          <w:rFonts w:hint="eastAsia" w:ascii="仿宋_GB2312" w:hAnsi="仿宋_GB2312" w:cs="仿宋_GB2312"/>
          <w:bCs w:val="0"/>
          <w:szCs w:val="22"/>
        </w:rPr>
        <w:t>月</w:t>
      </w:r>
      <w:r>
        <w:rPr>
          <w:rFonts w:hint="eastAsia" w:ascii="仿宋_GB2312" w:hAnsi="仿宋_GB2312" w:cs="仿宋_GB2312"/>
          <w:bCs w:val="0"/>
          <w:szCs w:val="22"/>
          <w:lang w:val="en-US" w:eastAsia="zh-CN"/>
        </w:rPr>
        <w:t>2</w:t>
      </w:r>
      <w:r>
        <w:rPr>
          <w:rFonts w:hint="eastAsia" w:ascii="仿宋_GB2312" w:hAnsi="仿宋_GB2312" w:cs="仿宋_GB2312"/>
          <w:bCs w:val="0"/>
          <w:szCs w:val="22"/>
        </w:rPr>
        <w:t>日发布并</w:t>
      </w:r>
      <w:r>
        <w:rPr>
          <w:rFonts w:hint="eastAsia" w:ascii="仿宋_GB2312" w:hAnsi="仿宋_GB2312" w:cs="仿宋_GB2312"/>
          <w:bCs w:val="0"/>
          <w:szCs w:val="22"/>
          <w:lang w:eastAsia="zh-CN"/>
        </w:rPr>
        <w:t>施行</w:t>
      </w:r>
      <w:r>
        <w:rPr>
          <w:rFonts w:hint="eastAsia" w:ascii="仿宋_GB2312" w:hAnsi="仿宋_GB2312" w:cs="仿宋_GB2312"/>
          <w:bCs w:val="0"/>
          <w:szCs w:val="22"/>
        </w:rPr>
        <w:t>）</w:t>
      </w:r>
      <w:bookmarkEnd w:id="127"/>
      <w:bookmarkEnd w:id="128"/>
      <w:bookmarkEnd w:id="129"/>
      <w:bookmarkEnd w:id="130"/>
      <w:bookmarkEnd w:id="131"/>
      <w:bookmarkEnd w:id="132"/>
    </w:p>
    <w:p>
      <w:pPr>
        <w:ind w:firstLine="600" w:firstLineChars="200"/>
        <w:rPr>
          <w:rFonts w:ascii="Times New Roman" w:eastAsia="仿宋_GB2312"/>
          <w:color w:val="000000"/>
          <w:sz w:val="30"/>
          <w:szCs w:val="30"/>
        </w:rPr>
      </w:pPr>
      <w:r>
        <w:rPr>
          <w:rFonts w:ascii="Times New Roman" w:eastAsia="仿宋_GB2312"/>
          <w:color w:val="000000"/>
          <w:sz w:val="30"/>
          <w:szCs w:val="30"/>
        </w:rPr>
        <w:t>掌握证券从业人员职业道德的基本要求。</w:t>
      </w:r>
    </w:p>
    <w:p>
      <w:pPr>
        <w:pStyle w:val="4"/>
        <w:ind w:firstLine="602"/>
        <w:rPr>
          <w:rFonts w:ascii="仿宋_GB2312" w:hAnsi="仿宋_GB2312" w:cs="仿宋_GB2312"/>
          <w:bCs w:val="0"/>
          <w:szCs w:val="22"/>
        </w:rPr>
      </w:pPr>
      <w:bookmarkStart w:id="133" w:name="_Toc4737"/>
      <w:bookmarkStart w:id="134" w:name="_Toc29095"/>
      <w:bookmarkStart w:id="135" w:name="_Toc110431091"/>
      <w:bookmarkStart w:id="136" w:name="_Toc117850237"/>
      <w:bookmarkStart w:id="137" w:name="_Toc1711840330"/>
      <w:bookmarkStart w:id="138" w:name="_Toc358035234"/>
      <w:bookmarkStart w:id="139" w:name="_Toc23046"/>
      <w:bookmarkStart w:id="140" w:name="_Toc398499761"/>
      <w:bookmarkStart w:id="141" w:name="_Toc1178082035"/>
      <w:r>
        <w:rPr>
          <w:rFonts w:hint="eastAsia" w:ascii="仿宋_GB2312" w:hAnsi="仿宋_GB2312" w:cs="仿宋_GB2312"/>
          <w:bCs w:val="0"/>
          <w:szCs w:val="22"/>
        </w:rPr>
        <w:t>6.</w:t>
      </w:r>
      <w:r>
        <w:rPr>
          <w:rFonts w:hint="eastAsia" w:ascii="仿宋_GB2312" w:hAnsi="仿宋_GB2312" w:cs="仿宋_GB2312"/>
          <w:szCs w:val="22"/>
        </w:rPr>
        <w:t>《证券市场禁入规定》</w:t>
      </w:r>
      <w:bookmarkEnd w:id="133"/>
      <w:bookmarkEnd w:id="134"/>
      <w:bookmarkEnd w:id="135"/>
      <w:r>
        <w:rPr>
          <w:rFonts w:hint="eastAsia" w:ascii="仿宋_GB2312" w:hAnsi="仿宋_GB2312" w:cs="仿宋_GB2312"/>
          <w:szCs w:val="22"/>
        </w:rPr>
        <w:t>（2021年6月15日</w:t>
      </w:r>
      <w:r>
        <w:rPr>
          <w:rFonts w:hint="eastAsia" w:ascii="仿宋_GB2312" w:hAnsi="仿宋_GB2312" w:cs="仿宋_GB2312"/>
          <w:szCs w:val="22"/>
          <w:lang w:eastAsia="zh-CN"/>
        </w:rPr>
        <w:t>公布</w:t>
      </w:r>
      <w:r>
        <w:rPr>
          <w:rFonts w:hint="eastAsia" w:ascii="仿宋_GB2312" w:hAnsi="仿宋_GB2312" w:cs="仿宋_GB2312"/>
          <w:szCs w:val="22"/>
        </w:rPr>
        <w:t>，2021年7月19日起施行）</w:t>
      </w:r>
      <w:bookmarkEnd w:id="136"/>
      <w:bookmarkEnd w:id="137"/>
      <w:bookmarkEnd w:id="138"/>
      <w:bookmarkEnd w:id="139"/>
      <w:bookmarkEnd w:id="140"/>
      <w:bookmarkEnd w:id="141"/>
    </w:p>
    <w:p>
      <w:pPr>
        <w:ind w:firstLine="600" w:firstLineChars="200"/>
        <w:rPr>
          <w:rFonts w:ascii="Times New Roman" w:eastAsia="仿宋_GB2312"/>
          <w:color w:val="000000"/>
          <w:sz w:val="30"/>
          <w:szCs w:val="30"/>
        </w:rPr>
      </w:pPr>
      <w:r>
        <w:rPr>
          <w:rFonts w:ascii="Times New Roman" w:eastAsia="仿宋_GB2312"/>
          <w:color w:val="000000"/>
          <w:sz w:val="30"/>
          <w:szCs w:val="30"/>
        </w:rPr>
        <w:t>熟悉关于中国证监会可以采取证券市场禁入措施的</w:t>
      </w:r>
      <w:r>
        <w:rPr>
          <w:rFonts w:hint="eastAsia" w:ascii="Times New Roman" w:eastAsia="仿宋_GB2312"/>
          <w:color w:val="000000"/>
          <w:sz w:val="30"/>
          <w:szCs w:val="30"/>
        </w:rPr>
        <w:t>对象</w:t>
      </w:r>
      <w:r>
        <w:rPr>
          <w:rFonts w:ascii="Times New Roman" w:eastAsia="仿宋_GB2312"/>
          <w:color w:val="000000"/>
          <w:sz w:val="30"/>
          <w:szCs w:val="30"/>
        </w:rPr>
        <w:t>和</w:t>
      </w:r>
      <w:r>
        <w:rPr>
          <w:rFonts w:hint="eastAsia" w:ascii="Times New Roman" w:eastAsia="仿宋_GB2312"/>
          <w:color w:val="000000"/>
          <w:sz w:val="30"/>
          <w:szCs w:val="30"/>
        </w:rPr>
        <w:t>适用</w:t>
      </w:r>
      <w:r>
        <w:rPr>
          <w:rFonts w:ascii="Times New Roman" w:eastAsia="仿宋_GB2312"/>
          <w:color w:val="000000"/>
          <w:sz w:val="30"/>
          <w:szCs w:val="30"/>
        </w:rPr>
        <w:t>情形</w:t>
      </w:r>
      <w:r>
        <w:rPr>
          <w:rFonts w:hint="eastAsia" w:ascii="Times New Roman" w:eastAsia="仿宋_GB2312"/>
          <w:color w:val="000000"/>
          <w:sz w:val="30"/>
          <w:szCs w:val="30"/>
        </w:rPr>
        <w:t>；</w:t>
      </w:r>
      <w:r>
        <w:rPr>
          <w:rFonts w:ascii="Times New Roman" w:eastAsia="仿宋_GB2312"/>
          <w:color w:val="000000"/>
          <w:sz w:val="30"/>
          <w:szCs w:val="30"/>
        </w:rPr>
        <w:t>掌握</w:t>
      </w:r>
      <w:r>
        <w:rPr>
          <w:rFonts w:hint="eastAsia" w:ascii="Times New Roman" w:eastAsia="仿宋_GB2312"/>
          <w:color w:val="000000"/>
          <w:sz w:val="30"/>
          <w:szCs w:val="30"/>
        </w:rPr>
        <w:t>市场禁入类型和禁入期限的规定；了解</w:t>
      </w:r>
      <w:r>
        <w:rPr>
          <w:rFonts w:ascii="Times New Roman" w:eastAsia="仿宋_GB2312"/>
          <w:color w:val="000000"/>
          <w:sz w:val="30"/>
          <w:szCs w:val="30"/>
        </w:rPr>
        <w:t>关于市场禁入人员在禁入期间不得从事证券业务或担任相关职务的规定。</w:t>
      </w:r>
    </w:p>
    <w:p>
      <w:pPr>
        <w:pStyle w:val="4"/>
        <w:ind w:firstLine="602"/>
        <w:rPr>
          <w:rFonts w:ascii="仿宋_GB2312" w:hAnsi="仿宋_GB2312" w:cs="仿宋_GB2312"/>
          <w:b w:val="0"/>
          <w:szCs w:val="22"/>
        </w:rPr>
      </w:pPr>
      <w:bookmarkStart w:id="142" w:name="_Toc1588861683"/>
      <w:bookmarkStart w:id="143" w:name="_Toc1627870848"/>
      <w:bookmarkStart w:id="144" w:name="_Toc337184054"/>
      <w:bookmarkStart w:id="145" w:name="_Toc1646486541"/>
      <w:bookmarkStart w:id="146" w:name="_Toc1056401990"/>
      <w:bookmarkStart w:id="147" w:name="_Toc20547"/>
      <w:bookmarkStart w:id="148" w:name="_Toc6384"/>
      <w:r>
        <w:rPr>
          <w:rFonts w:hint="eastAsia" w:ascii="仿宋_GB2312" w:hAnsi="仿宋_GB2312" w:cs="仿宋_GB2312"/>
          <w:bCs w:val="0"/>
          <w:szCs w:val="22"/>
        </w:rPr>
        <w:t>7.《中国人民银行 中国证券监督管理委员会公告〔2018〕第14号》（2018年9月4日公布并施行）</w:t>
      </w:r>
      <w:bookmarkEnd w:id="142"/>
      <w:bookmarkEnd w:id="143"/>
      <w:bookmarkEnd w:id="144"/>
      <w:bookmarkEnd w:id="145"/>
      <w:bookmarkEnd w:id="146"/>
      <w:bookmarkEnd w:id="147"/>
      <w:bookmarkEnd w:id="148"/>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掌握评级机构应当统一评级标准，保持评级结果的一致性和可比性的规定。</w:t>
      </w:r>
    </w:p>
    <w:p>
      <w:pPr>
        <w:pStyle w:val="4"/>
        <w:ind w:firstLine="602"/>
        <w:rPr>
          <w:rFonts w:ascii="仿宋_GB2312" w:hAnsi="仿宋_GB2312" w:cs="仿宋_GB2312"/>
          <w:bCs w:val="0"/>
          <w:szCs w:val="22"/>
        </w:rPr>
      </w:pPr>
      <w:bookmarkStart w:id="149" w:name="_Toc2008720095"/>
      <w:bookmarkStart w:id="150" w:name="_Toc4039"/>
      <w:bookmarkStart w:id="151" w:name="_Toc578899944"/>
      <w:bookmarkStart w:id="152" w:name="_Toc588026065"/>
      <w:bookmarkStart w:id="153" w:name="_Toc78053834"/>
      <w:bookmarkStart w:id="154" w:name="_Toc1504442939"/>
      <w:bookmarkStart w:id="155" w:name="_Toc5921"/>
      <w:r>
        <w:rPr>
          <w:rFonts w:hint="eastAsia" w:ascii="仿宋_GB2312" w:hAnsi="仿宋_GB2312" w:cs="仿宋_GB2312"/>
          <w:bCs w:val="0"/>
          <w:szCs w:val="22"/>
        </w:rPr>
        <w:t>8.《信用评级业管理暂行办法》（</w:t>
      </w:r>
      <w:r>
        <w:rPr>
          <w:rFonts w:ascii="仿宋_GB2312" w:hAnsi="仿宋_GB2312" w:cs="仿宋_GB2312"/>
          <w:bCs w:val="0"/>
          <w:szCs w:val="22"/>
        </w:rPr>
        <w:t>2019年11月26日公布</w:t>
      </w:r>
      <w:r>
        <w:rPr>
          <w:rFonts w:hint="eastAsia" w:ascii="仿宋_GB2312" w:hAnsi="仿宋_GB2312" w:cs="仿宋_GB2312"/>
          <w:bCs w:val="0"/>
          <w:szCs w:val="22"/>
        </w:rPr>
        <w:t>，</w:t>
      </w:r>
      <w:r>
        <w:rPr>
          <w:rFonts w:ascii="仿宋_GB2312" w:hAnsi="仿宋_GB2312" w:cs="仿宋_GB2312"/>
          <w:bCs w:val="0"/>
          <w:szCs w:val="22"/>
        </w:rPr>
        <w:t xml:space="preserve"> 2019年12月26日起施行</w:t>
      </w:r>
      <w:r>
        <w:rPr>
          <w:rFonts w:hint="eastAsia" w:ascii="仿宋_GB2312" w:hAnsi="仿宋_GB2312" w:cs="仿宋_GB2312"/>
          <w:bCs w:val="0"/>
          <w:szCs w:val="22"/>
        </w:rPr>
        <w:t>）</w:t>
      </w:r>
      <w:bookmarkEnd w:id="149"/>
      <w:bookmarkEnd w:id="150"/>
      <w:bookmarkEnd w:id="151"/>
      <w:bookmarkEnd w:id="152"/>
      <w:bookmarkEnd w:id="153"/>
      <w:bookmarkEnd w:id="154"/>
      <w:bookmarkEnd w:id="155"/>
    </w:p>
    <w:p>
      <w:pPr>
        <w:numPr>
          <w:ilvl w:val="-1"/>
          <w:numId w:val="0"/>
        </w:numPr>
        <w:ind w:firstLine="600" w:firstLineChars="200"/>
        <w:rPr>
          <w:rFonts w:hint="eastAsia" w:ascii="Times New Roman" w:eastAsia="仿宋_GB2312"/>
          <w:color w:val="000000"/>
          <w:sz w:val="30"/>
          <w:szCs w:val="30"/>
          <w:lang w:bidi="zh-CN"/>
        </w:rPr>
      </w:pPr>
      <w:r>
        <w:rPr>
          <w:rFonts w:hint="eastAsia" w:ascii="Times New Roman" w:eastAsia="仿宋_GB2312"/>
          <w:color w:val="000000"/>
          <w:sz w:val="30"/>
          <w:szCs w:val="30"/>
          <w:lang w:val="zh-CN" w:bidi="zh-CN"/>
        </w:rPr>
        <w:t>掌握</w:t>
      </w:r>
      <w:r>
        <w:rPr>
          <w:rFonts w:hint="eastAsia" w:ascii="Times New Roman" w:eastAsia="仿宋_GB2312"/>
          <w:color w:val="000000"/>
          <w:sz w:val="30"/>
          <w:szCs w:val="30"/>
          <w:lang w:bidi="zh-CN"/>
        </w:rPr>
        <w:t>本</w:t>
      </w:r>
      <w:r>
        <w:rPr>
          <w:rFonts w:hint="eastAsia" w:ascii="Times New Roman" w:eastAsia="仿宋_GB2312"/>
          <w:color w:val="000000"/>
          <w:sz w:val="30"/>
          <w:szCs w:val="30"/>
          <w:lang w:val="zh-CN" w:bidi="zh-CN"/>
        </w:rPr>
        <w:t>办法的适用范围和所称债务融资工具</w:t>
      </w:r>
      <w:r>
        <w:rPr>
          <w:rFonts w:hint="eastAsia" w:ascii="Times New Roman" w:eastAsia="仿宋_GB2312"/>
          <w:color w:val="000000"/>
          <w:sz w:val="30"/>
          <w:szCs w:val="30"/>
          <w:lang w:bidi="zh-CN"/>
        </w:rPr>
        <w:t>的范围；了解</w:t>
      </w:r>
      <w:r>
        <w:rPr>
          <w:rFonts w:hint="eastAsia" w:ascii="Times New Roman" w:eastAsia="仿宋_GB2312"/>
          <w:color w:val="000000"/>
          <w:sz w:val="30"/>
          <w:szCs w:val="30"/>
          <w:lang w:val="zh-CN" w:bidi="zh-CN"/>
        </w:rPr>
        <w:t>监管主体的范围</w:t>
      </w:r>
      <w:r>
        <w:rPr>
          <w:rFonts w:hint="eastAsia" w:ascii="Times New Roman" w:eastAsia="仿宋_GB2312"/>
          <w:color w:val="000000"/>
          <w:sz w:val="30"/>
          <w:szCs w:val="30"/>
          <w:lang w:bidi="zh-CN"/>
        </w:rPr>
        <w:t>及</w:t>
      </w:r>
      <w:r>
        <w:rPr>
          <w:rFonts w:hint="eastAsia" w:ascii="Times New Roman" w:eastAsia="仿宋_GB2312"/>
          <w:color w:val="000000"/>
          <w:sz w:val="30"/>
          <w:szCs w:val="30"/>
          <w:lang w:val="zh-CN" w:bidi="zh-CN"/>
        </w:rPr>
        <w:t>职责</w:t>
      </w:r>
      <w:r>
        <w:rPr>
          <w:rFonts w:hint="eastAsia" w:ascii="Times New Roman" w:eastAsia="仿宋_GB2312"/>
          <w:color w:val="000000"/>
          <w:sz w:val="30"/>
          <w:szCs w:val="30"/>
          <w:lang w:bidi="zh-CN"/>
        </w:rPr>
        <w:t>；掌握信用评级从业人员管理的相关规定；掌握信用评级机构独立性、相关信息披露的要求；掌握信用评级行业主管部门、业务管理部门及其派出机构可以采取的监督检查措施及现场检查内容；熟悉对信用评级机构及其从业人员违法违规行为的处罚措施。</w:t>
      </w:r>
    </w:p>
    <w:p>
      <w:pPr>
        <w:pStyle w:val="4"/>
        <w:ind w:firstLine="602"/>
        <w:rPr>
          <w:rFonts w:ascii="仿宋_GB2312" w:hAnsi="仿宋_GB2312" w:cs="仿宋_GB2312"/>
          <w:bCs w:val="0"/>
          <w:szCs w:val="22"/>
        </w:rPr>
      </w:pPr>
      <w:bookmarkStart w:id="156" w:name="_Toc1743536525"/>
      <w:bookmarkStart w:id="157" w:name="_Toc539915801"/>
      <w:bookmarkStart w:id="158" w:name="_Toc1549070318"/>
      <w:bookmarkStart w:id="159" w:name="_Toc846135907"/>
      <w:bookmarkStart w:id="160" w:name="_Toc8307"/>
      <w:bookmarkStart w:id="161" w:name="_Toc14936"/>
      <w:bookmarkStart w:id="162" w:name="_Toc1093936031"/>
      <w:r>
        <w:rPr>
          <w:rFonts w:hint="eastAsia" w:ascii="仿宋_GB2312" w:hAnsi="仿宋_GB2312" w:cs="仿宋_GB2312"/>
          <w:bCs w:val="0"/>
          <w:szCs w:val="22"/>
        </w:rPr>
        <w:t>9.《中国人民银行</w:t>
      </w:r>
      <w:r>
        <w:rPr>
          <w:rFonts w:hint="eastAsia" w:ascii="仿宋_GB2312" w:hAnsi="仿宋_GB2312" w:cs="仿宋_GB2312"/>
          <w:bCs w:val="0"/>
          <w:szCs w:val="22"/>
          <w:lang w:val="en-US" w:eastAsia="zh-CN"/>
        </w:rPr>
        <w:t xml:space="preserve"> </w:t>
      </w:r>
      <w:r>
        <w:rPr>
          <w:rFonts w:hint="eastAsia" w:ascii="仿宋_GB2312" w:hAnsi="仿宋_GB2312" w:cs="仿宋_GB2312"/>
          <w:bCs w:val="0"/>
          <w:szCs w:val="22"/>
        </w:rPr>
        <w:t>发展改革委</w:t>
      </w:r>
      <w:r>
        <w:rPr>
          <w:rFonts w:hint="eastAsia" w:ascii="仿宋_GB2312" w:hAnsi="仿宋_GB2312" w:cs="仿宋_GB2312"/>
          <w:bCs w:val="0"/>
          <w:szCs w:val="22"/>
          <w:lang w:val="en-US" w:eastAsia="zh-CN"/>
        </w:rPr>
        <w:t xml:space="preserve"> </w:t>
      </w:r>
      <w:r>
        <w:rPr>
          <w:rFonts w:hint="eastAsia" w:ascii="仿宋_GB2312" w:hAnsi="仿宋_GB2312" w:cs="仿宋_GB2312"/>
          <w:bCs w:val="0"/>
          <w:szCs w:val="22"/>
        </w:rPr>
        <w:t>证监会关于公司信用类债券违约处置有关事宜的通知》（2020年6月15日公布，2020年8月1日起施行）</w:t>
      </w:r>
      <w:bookmarkEnd w:id="156"/>
      <w:bookmarkEnd w:id="157"/>
      <w:bookmarkEnd w:id="158"/>
      <w:bookmarkEnd w:id="159"/>
      <w:bookmarkEnd w:id="160"/>
      <w:bookmarkEnd w:id="161"/>
      <w:bookmarkEnd w:id="162"/>
    </w:p>
    <w:p>
      <w:pPr>
        <w:ind w:firstLine="600" w:firstLineChars="200"/>
        <w:rPr>
          <w:rFonts w:ascii="Times New Roman" w:eastAsia="仿宋_GB2312"/>
          <w:color w:val="000000"/>
          <w:sz w:val="30"/>
          <w:szCs w:val="30"/>
          <w:lang w:bidi="zh-CN"/>
        </w:rPr>
      </w:pPr>
      <w:r>
        <w:rPr>
          <w:rFonts w:hint="eastAsia" w:ascii="Times New Roman" w:eastAsia="仿宋_GB2312"/>
          <w:color w:val="000000"/>
          <w:sz w:val="30"/>
          <w:szCs w:val="30"/>
          <w:lang w:bidi="zh-CN"/>
        </w:rPr>
        <w:t>熟悉公司信用类债券违约处置的基本原则；熟悉对建立健全受托管理人制度、完善债券持有人会议制度的要求；了解发行人履行清偿责任和信息披露义务的相关规定；熟悉依法保障债券持有人合法权益的相关措施；掌握建立健全多元化的债券违约处置机制的相关措施；掌握中介机构履职尽责的相关要求；熟悉提高信用评级的风险揭示能力的相关要求；</w:t>
      </w:r>
      <w:r>
        <w:rPr>
          <w:rFonts w:hint="eastAsia" w:ascii="Times New Roman" w:eastAsia="仿宋_GB2312"/>
          <w:color w:val="000000"/>
          <w:sz w:val="30"/>
          <w:szCs w:val="30"/>
        </w:rPr>
        <w:t>了解监管联合惩戒机制</w:t>
      </w:r>
      <w:r>
        <w:rPr>
          <w:rFonts w:hint="eastAsia" w:ascii="Times New Roman" w:eastAsia="仿宋_GB2312"/>
          <w:color w:val="000000"/>
          <w:sz w:val="30"/>
          <w:szCs w:val="30"/>
          <w:lang w:bidi="zh-CN"/>
        </w:rPr>
        <w:t>。</w:t>
      </w:r>
    </w:p>
    <w:p>
      <w:pPr>
        <w:pStyle w:val="4"/>
        <w:ind w:firstLine="602"/>
        <w:rPr>
          <w:rFonts w:ascii="仿宋_GB2312" w:hAnsi="仿宋_GB2312" w:cs="仿宋_GB2312"/>
          <w:bCs w:val="0"/>
          <w:szCs w:val="22"/>
        </w:rPr>
      </w:pPr>
      <w:bookmarkStart w:id="163" w:name="_Toc897968702"/>
      <w:bookmarkStart w:id="164" w:name="_Toc1632579634"/>
      <w:bookmarkStart w:id="165" w:name="_Toc350354173"/>
      <w:bookmarkStart w:id="166" w:name="_Toc1161990290"/>
      <w:bookmarkStart w:id="167" w:name="_Toc6827"/>
      <w:bookmarkStart w:id="168" w:name="_Toc19924"/>
      <w:bookmarkStart w:id="169" w:name="_Toc616612008"/>
      <w:r>
        <w:rPr>
          <w:rFonts w:hint="eastAsia" w:ascii="仿宋_GB2312" w:hAnsi="仿宋_GB2312" w:cs="仿宋_GB2312"/>
          <w:bCs w:val="0"/>
          <w:szCs w:val="22"/>
        </w:rPr>
        <w:t>10.《中国人民银行</w:t>
      </w:r>
      <w:r>
        <w:rPr>
          <w:rFonts w:hint="eastAsia" w:ascii="仿宋_GB2312" w:hAnsi="仿宋_GB2312" w:cs="仿宋_GB2312"/>
          <w:bCs w:val="0"/>
          <w:szCs w:val="22"/>
          <w:lang w:val="en-US" w:eastAsia="zh-CN"/>
        </w:rPr>
        <w:t xml:space="preserve"> </w:t>
      </w:r>
      <w:r>
        <w:rPr>
          <w:rFonts w:hint="eastAsia" w:ascii="仿宋_GB2312" w:hAnsi="仿宋_GB2312" w:cs="仿宋_GB2312"/>
          <w:bCs w:val="0"/>
          <w:szCs w:val="22"/>
        </w:rPr>
        <w:t>中国证券监督管理委员会公告〔</w:t>
      </w:r>
      <w:r>
        <w:rPr>
          <w:rFonts w:ascii="仿宋_GB2312" w:hAnsi="仿宋_GB2312" w:cs="仿宋_GB2312"/>
          <w:bCs w:val="0"/>
          <w:szCs w:val="22"/>
        </w:rPr>
        <w:t>2020〕第7号</w:t>
      </w:r>
      <w:r>
        <w:rPr>
          <w:rFonts w:hint="eastAsia" w:ascii="仿宋_GB2312" w:hAnsi="仿宋_GB2312" w:cs="仿宋_GB2312"/>
          <w:bCs w:val="0"/>
          <w:szCs w:val="22"/>
        </w:rPr>
        <w:t>》（</w:t>
      </w:r>
      <w:r>
        <w:rPr>
          <w:rFonts w:ascii="仿宋_GB2312" w:hAnsi="仿宋_GB2312" w:cs="仿宋_GB2312"/>
          <w:bCs w:val="0"/>
          <w:szCs w:val="22"/>
        </w:rPr>
        <w:t>2020年7月19日公布并施行</w:t>
      </w:r>
      <w:r>
        <w:rPr>
          <w:rFonts w:hint="eastAsia" w:ascii="仿宋_GB2312" w:hAnsi="仿宋_GB2312" w:cs="仿宋_GB2312"/>
          <w:bCs w:val="0"/>
          <w:szCs w:val="22"/>
        </w:rPr>
        <w:t>）</w:t>
      </w:r>
      <w:bookmarkEnd w:id="163"/>
      <w:bookmarkEnd w:id="164"/>
      <w:bookmarkEnd w:id="165"/>
      <w:bookmarkEnd w:id="166"/>
      <w:bookmarkEnd w:id="167"/>
      <w:bookmarkEnd w:id="168"/>
      <w:bookmarkEnd w:id="169"/>
    </w:p>
    <w:p>
      <w:pPr>
        <w:ind w:firstLine="600" w:firstLineChars="200"/>
        <w:rPr>
          <w:rFonts w:hint="eastAsia" w:ascii="Times New Roman" w:eastAsia="仿宋_GB2312"/>
          <w:color w:val="000000"/>
          <w:sz w:val="30"/>
          <w:szCs w:val="30"/>
          <w:lang w:bidi="zh-CN"/>
        </w:rPr>
      </w:pPr>
      <w:r>
        <w:rPr>
          <w:rFonts w:hint="eastAsia" w:ascii="Times New Roman" w:eastAsia="仿宋_GB2312"/>
          <w:color w:val="000000"/>
          <w:sz w:val="30"/>
          <w:szCs w:val="30"/>
          <w:lang w:bidi="zh-CN"/>
        </w:rPr>
        <w:t>熟悉互联互通的概念及相关机制安排。</w:t>
      </w:r>
    </w:p>
    <w:p>
      <w:pPr>
        <w:pStyle w:val="4"/>
        <w:ind w:firstLine="602"/>
        <w:rPr>
          <w:rFonts w:ascii="仿宋_GB2312" w:hAnsi="仿宋_GB2312" w:cs="仿宋_GB2312"/>
          <w:bCs w:val="0"/>
          <w:szCs w:val="22"/>
        </w:rPr>
      </w:pPr>
      <w:bookmarkStart w:id="170" w:name="_Toc6569"/>
      <w:bookmarkStart w:id="171" w:name="_Toc22657"/>
      <w:bookmarkStart w:id="172" w:name="_Toc1977580921"/>
      <w:bookmarkStart w:id="173" w:name="_Toc945487110"/>
      <w:bookmarkStart w:id="174" w:name="_Toc1806024227"/>
      <w:bookmarkStart w:id="175" w:name="_Toc587635745"/>
      <w:bookmarkStart w:id="176" w:name="_Toc1873941508"/>
      <w:r>
        <w:rPr>
          <w:rFonts w:hint="eastAsia" w:ascii="仿宋_GB2312" w:hAnsi="仿宋_GB2312" w:cs="仿宋_GB2312"/>
          <w:bCs w:val="0"/>
          <w:szCs w:val="22"/>
        </w:rPr>
        <w:t>11.《公司信用类债券信息披露管理办法》（</w:t>
      </w:r>
      <w:r>
        <w:rPr>
          <w:rFonts w:ascii="仿宋_GB2312" w:hAnsi="仿宋_GB2312" w:cs="仿宋_GB2312"/>
          <w:bCs w:val="0"/>
          <w:szCs w:val="22"/>
        </w:rPr>
        <w:t>2020</w:t>
      </w:r>
      <w:r>
        <w:rPr>
          <w:rFonts w:hint="eastAsia" w:ascii="仿宋_GB2312" w:hAnsi="仿宋_GB2312" w:cs="仿宋_GB2312"/>
          <w:bCs w:val="0"/>
          <w:szCs w:val="22"/>
        </w:rPr>
        <w:t>年</w:t>
      </w:r>
      <w:r>
        <w:rPr>
          <w:rFonts w:ascii="仿宋_GB2312" w:hAnsi="仿宋_GB2312" w:cs="仿宋_GB2312"/>
          <w:bCs w:val="0"/>
          <w:szCs w:val="22"/>
        </w:rPr>
        <w:t>12</w:t>
      </w:r>
      <w:r>
        <w:rPr>
          <w:rFonts w:hint="eastAsia" w:ascii="仿宋_GB2312" w:hAnsi="仿宋_GB2312" w:cs="仿宋_GB2312"/>
          <w:bCs w:val="0"/>
          <w:szCs w:val="22"/>
        </w:rPr>
        <w:t>月</w:t>
      </w:r>
      <w:r>
        <w:rPr>
          <w:rFonts w:ascii="仿宋_GB2312" w:hAnsi="仿宋_GB2312" w:cs="仿宋_GB2312"/>
          <w:bCs w:val="0"/>
          <w:szCs w:val="22"/>
        </w:rPr>
        <w:t>25</w:t>
      </w:r>
      <w:r>
        <w:rPr>
          <w:rFonts w:hint="eastAsia" w:ascii="仿宋_GB2312" w:hAnsi="仿宋_GB2312" w:cs="仿宋_GB2312"/>
          <w:bCs w:val="0"/>
          <w:szCs w:val="22"/>
        </w:rPr>
        <w:t>日发布，</w:t>
      </w:r>
      <w:r>
        <w:rPr>
          <w:rFonts w:ascii="仿宋_GB2312" w:hAnsi="仿宋_GB2312" w:cs="仿宋_GB2312"/>
          <w:bCs w:val="0"/>
          <w:szCs w:val="22"/>
        </w:rPr>
        <w:t>2021</w:t>
      </w:r>
      <w:r>
        <w:rPr>
          <w:rFonts w:hint="eastAsia" w:ascii="仿宋_GB2312" w:hAnsi="仿宋_GB2312" w:cs="仿宋_GB2312"/>
          <w:bCs w:val="0"/>
          <w:szCs w:val="22"/>
        </w:rPr>
        <w:t>年</w:t>
      </w:r>
      <w:r>
        <w:rPr>
          <w:rFonts w:ascii="仿宋_GB2312" w:hAnsi="仿宋_GB2312" w:cs="仿宋_GB2312"/>
          <w:bCs w:val="0"/>
          <w:szCs w:val="22"/>
        </w:rPr>
        <w:t>5</w:t>
      </w:r>
      <w:r>
        <w:rPr>
          <w:rFonts w:hint="eastAsia" w:ascii="仿宋_GB2312" w:hAnsi="仿宋_GB2312" w:cs="仿宋_GB2312"/>
          <w:bCs w:val="0"/>
          <w:szCs w:val="22"/>
        </w:rPr>
        <w:t>月</w:t>
      </w:r>
      <w:r>
        <w:rPr>
          <w:rFonts w:ascii="仿宋_GB2312" w:hAnsi="仿宋_GB2312" w:cs="仿宋_GB2312"/>
          <w:bCs w:val="0"/>
          <w:szCs w:val="22"/>
        </w:rPr>
        <w:t>1</w:t>
      </w:r>
      <w:r>
        <w:rPr>
          <w:rFonts w:hint="eastAsia" w:ascii="仿宋_GB2312" w:hAnsi="仿宋_GB2312" w:cs="仿宋_GB2312"/>
          <w:bCs w:val="0"/>
          <w:szCs w:val="22"/>
        </w:rPr>
        <w:t>日</w:t>
      </w:r>
      <w:r>
        <w:rPr>
          <w:rFonts w:hint="eastAsia" w:ascii="仿宋_GB2312" w:hAnsi="仿宋_GB2312" w:cs="仿宋_GB2312"/>
          <w:bCs w:val="0"/>
          <w:szCs w:val="22"/>
          <w:lang w:eastAsia="zh-CN"/>
        </w:rPr>
        <w:t>起施行</w:t>
      </w:r>
      <w:r>
        <w:rPr>
          <w:rFonts w:ascii="仿宋_GB2312" w:hAnsi="仿宋_GB2312" w:cs="仿宋_GB2312"/>
          <w:bCs w:val="0"/>
          <w:szCs w:val="22"/>
        </w:rPr>
        <w:t>）</w:t>
      </w:r>
      <w:bookmarkEnd w:id="170"/>
      <w:bookmarkEnd w:id="171"/>
      <w:bookmarkEnd w:id="172"/>
      <w:bookmarkEnd w:id="173"/>
      <w:bookmarkEnd w:id="174"/>
      <w:bookmarkEnd w:id="175"/>
      <w:bookmarkEnd w:id="176"/>
    </w:p>
    <w:p>
      <w:pPr>
        <w:ind w:firstLine="600" w:firstLineChars="200"/>
      </w:pPr>
      <w:r>
        <w:rPr>
          <w:rFonts w:hint="eastAsia" w:ascii="Times New Roman" w:eastAsia="仿宋_GB2312"/>
          <w:color w:val="000000"/>
          <w:sz w:val="30"/>
          <w:szCs w:val="30"/>
          <w:lang w:bidi="zh-CN"/>
        </w:rPr>
        <w:t>了解公司信用类债券的定义和对企业信息披露在制度、人员方面的要求；熟悉债券发行前和债券存续期内的信息披露要求；掌握债券发生违约和进入破产程序的信息披露要求；掌握中介机构信息披露的职责和义务；熟悉债券信息披露的监管措施；掌握募集说明书中关于募集资金运用、企业信用状况、担保情况和投资者保护机制的披露内容；了解企业编制的年度报告中应披露的报告期内重要事项。</w:t>
      </w:r>
    </w:p>
    <w:p>
      <w:pPr>
        <w:pStyle w:val="4"/>
        <w:ind w:firstLine="602"/>
        <w:rPr>
          <w:rFonts w:ascii="仿宋_GB2312" w:hAnsi="仿宋_GB2312" w:cs="仿宋_GB2312"/>
          <w:bCs w:val="0"/>
          <w:szCs w:val="22"/>
        </w:rPr>
      </w:pPr>
      <w:bookmarkStart w:id="177" w:name="_Toc1948140134"/>
      <w:bookmarkStart w:id="178" w:name="_Toc1292406425"/>
      <w:bookmarkStart w:id="179" w:name="_Toc1439359298"/>
      <w:bookmarkStart w:id="180" w:name="_Toc1767014613"/>
      <w:bookmarkStart w:id="181" w:name="_Toc815"/>
      <w:bookmarkStart w:id="182" w:name="_Toc1475976774"/>
      <w:bookmarkStart w:id="183" w:name="_Toc11531"/>
      <w:r>
        <w:rPr>
          <w:rFonts w:hint="eastAsia" w:ascii="仿宋_GB2312" w:hAnsi="仿宋_GB2312" w:cs="仿宋_GB2312"/>
          <w:bCs w:val="0"/>
          <w:szCs w:val="22"/>
        </w:rPr>
        <w:t>12.《中国人民银行 国家发展改革委 财政部 银保监会 证监会关于促进债券市场信用评级行业健康发展的通知》（2021年8月6日公布，2022年8月6日起施行）</w:t>
      </w:r>
      <w:bookmarkEnd w:id="177"/>
      <w:bookmarkEnd w:id="178"/>
      <w:bookmarkEnd w:id="179"/>
      <w:bookmarkEnd w:id="180"/>
      <w:bookmarkEnd w:id="181"/>
      <w:bookmarkEnd w:id="182"/>
      <w:bookmarkEnd w:id="183"/>
    </w:p>
    <w:p>
      <w:pPr>
        <w:ind w:firstLine="600" w:firstLineChars="200"/>
        <w:rPr>
          <w:rFonts w:ascii="Times New Roman" w:eastAsia="仿宋_GB2312"/>
          <w:color w:val="000000"/>
          <w:sz w:val="30"/>
          <w:szCs w:val="30"/>
          <w:lang w:bidi="zh-CN"/>
        </w:rPr>
      </w:pPr>
      <w:bookmarkStart w:id="184" w:name="OLE_LINK11"/>
      <w:bookmarkStart w:id="185" w:name="OLE_LINK10"/>
      <w:r>
        <w:rPr>
          <w:rFonts w:hint="eastAsia" w:ascii="Times New Roman" w:eastAsia="仿宋_GB2312"/>
          <w:color w:val="000000"/>
          <w:sz w:val="30"/>
          <w:szCs w:val="30"/>
          <w:lang w:bidi="zh-CN"/>
        </w:rPr>
        <w:t>掌握对评级机构加强评级方法体系建设，提升评级质量和区分度的相关要求；掌握对评级机构完善信用评级机构公司治理和内部控制机制，坚守评级独立性的相关要求；掌握评级机构加强信息披露的规定；熟悉促进信用评级行业公平竞争的措施；熟悉优化评级生态，营造公平、公正的市场环境的措施。</w:t>
      </w:r>
    </w:p>
    <w:p>
      <w:pPr>
        <w:pStyle w:val="4"/>
        <w:ind w:firstLine="602"/>
        <w:rPr>
          <w:rFonts w:ascii="仿宋_GB2312" w:hAnsi="仿宋_GB2312" w:cs="仿宋_GB2312"/>
          <w:bCs w:val="0"/>
          <w:szCs w:val="22"/>
        </w:rPr>
      </w:pPr>
      <w:bookmarkStart w:id="186" w:name="_Toc356701110"/>
      <w:bookmarkStart w:id="187" w:name="_Toc1139032048"/>
      <w:bookmarkStart w:id="188" w:name="_Toc1916280007"/>
      <w:bookmarkStart w:id="189" w:name="_Toc1145755323"/>
      <w:bookmarkStart w:id="190" w:name="_Toc60429699"/>
      <w:r>
        <w:rPr>
          <w:rFonts w:hint="eastAsia" w:ascii="仿宋_GB2312" w:hAnsi="仿宋_GB2312" w:cs="仿宋_GB2312"/>
          <w:bCs w:val="0"/>
          <w:szCs w:val="22"/>
        </w:rPr>
        <w:t>13.《</w:t>
      </w:r>
      <w:r>
        <w:rPr>
          <w:rFonts w:ascii="仿宋_GB2312" w:hAnsi="仿宋_GB2312" w:cs="仿宋_GB2312"/>
          <w:bCs w:val="0"/>
          <w:szCs w:val="22"/>
        </w:rPr>
        <w:t>关于注册制下提高中介机构债券业务执业质量的指导意见</w:t>
      </w:r>
      <w:r>
        <w:rPr>
          <w:rFonts w:hint="eastAsia" w:ascii="仿宋_GB2312" w:hAnsi="仿宋_GB2312" w:cs="仿宋_GB2312"/>
          <w:bCs w:val="0"/>
          <w:szCs w:val="22"/>
        </w:rPr>
        <w:t>》（2023年6月20日公布并施行）</w:t>
      </w:r>
      <w:bookmarkEnd w:id="186"/>
      <w:bookmarkEnd w:id="187"/>
      <w:bookmarkEnd w:id="188"/>
      <w:bookmarkEnd w:id="189"/>
      <w:bookmarkEnd w:id="190"/>
    </w:p>
    <w:p>
      <w:pPr>
        <w:ind w:firstLine="600" w:firstLineChars="200"/>
        <w:rPr>
          <w:rFonts w:ascii="Times New Roman" w:eastAsia="仿宋_GB2312"/>
          <w:color w:val="000000"/>
          <w:sz w:val="30"/>
          <w:szCs w:val="30"/>
          <w:lang w:bidi="zh-CN"/>
        </w:rPr>
      </w:pPr>
      <w:r>
        <w:rPr>
          <w:rFonts w:hint="eastAsia" w:ascii="Times New Roman" w:eastAsia="仿宋_GB2312"/>
          <w:color w:val="000000"/>
          <w:sz w:val="30"/>
          <w:szCs w:val="30"/>
          <w:lang w:bidi="zh-CN"/>
        </w:rPr>
        <w:t>熟悉注册制下提高中介机构债券业务执业质量的指导思想和基本原则；掌握提高评级机构执业质量的工作要求；掌握加强内控合规和廉洁从业管理的规定；熟悉完善立体追责体系的措施。</w:t>
      </w:r>
    </w:p>
    <w:p>
      <w:pPr>
        <w:pStyle w:val="4"/>
        <w:ind w:firstLine="602"/>
        <w:rPr>
          <w:rFonts w:ascii="仿宋_GB2312" w:hAnsi="仿宋_GB2312" w:cs="仿宋_GB2312"/>
          <w:bCs w:val="0"/>
          <w:szCs w:val="22"/>
        </w:rPr>
      </w:pPr>
      <w:bookmarkStart w:id="191" w:name="_Toc1714875270"/>
      <w:bookmarkStart w:id="192" w:name="_Toc380715882"/>
      <w:bookmarkStart w:id="193" w:name="_Toc2118189930"/>
      <w:bookmarkStart w:id="194" w:name="_Toc186279772"/>
      <w:bookmarkStart w:id="195" w:name="_Toc2087404192"/>
      <w:r>
        <w:rPr>
          <w:rFonts w:hint="eastAsia" w:ascii="仿宋_GB2312" w:hAnsi="仿宋_GB2312" w:cs="仿宋_GB2312"/>
          <w:bCs w:val="0"/>
          <w:szCs w:val="22"/>
        </w:rPr>
        <w:t>14.《债券市场信用评级机构联合市场化评价办法》（2024年3月15日公布并施行）</w:t>
      </w:r>
      <w:bookmarkEnd w:id="191"/>
      <w:bookmarkEnd w:id="192"/>
      <w:bookmarkEnd w:id="193"/>
      <w:bookmarkEnd w:id="194"/>
      <w:bookmarkEnd w:id="195"/>
    </w:p>
    <w:p>
      <w:pPr>
        <w:ind w:firstLine="600" w:firstLineChars="200"/>
        <w:rPr>
          <w:rFonts w:ascii="Times New Roman" w:eastAsia="仿宋_GB2312"/>
          <w:color w:val="000000"/>
          <w:sz w:val="30"/>
          <w:szCs w:val="30"/>
          <w:lang w:bidi="zh-CN"/>
        </w:rPr>
      </w:pPr>
      <w:r>
        <w:rPr>
          <w:rFonts w:hint="eastAsia" w:ascii="Times New Roman" w:eastAsia="仿宋_GB2312"/>
          <w:color w:val="000000"/>
          <w:sz w:val="30"/>
          <w:szCs w:val="30"/>
          <w:lang w:bidi="zh-CN"/>
        </w:rPr>
        <w:t>熟悉债券市场信用评级机构联合市场化评价的指标体系；了解市场化评价工作的程序和时间安排；了解市场化评价结果分类。</w:t>
      </w:r>
    </w:p>
    <w:bookmarkEnd w:id="184"/>
    <w:bookmarkEnd w:id="185"/>
    <w:p>
      <w:pPr>
        <w:pStyle w:val="2"/>
        <w:keepLines w:val="0"/>
        <w:spacing w:beforeLines="100" w:afterLines="100" w:line="240" w:lineRule="auto"/>
        <w:jc w:val="center"/>
        <w:rPr>
          <w:rFonts w:ascii="Courier New" w:hAnsi="Courier New" w:eastAsia="华文中宋"/>
          <w:b w:val="0"/>
          <w:sz w:val="30"/>
          <w:szCs w:val="32"/>
          <w:lang w:val="zh-CN"/>
        </w:rPr>
      </w:pPr>
      <w:bookmarkStart w:id="196" w:name="_Toc20741"/>
      <w:bookmarkStart w:id="197" w:name="_Toc586784264"/>
      <w:bookmarkStart w:id="198" w:name="_Toc110431092"/>
      <w:bookmarkStart w:id="199" w:name="_Toc1265449745"/>
      <w:bookmarkStart w:id="200" w:name="_Toc775095849"/>
      <w:bookmarkStart w:id="201" w:name="_Toc1279477975"/>
      <w:bookmarkStart w:id="202" w:name="_Toc17903"/>
      <w:bookmarkStart w:id="203" w:name="_Toc17613"/>
      <w:bookmarkStart w:id="204" w:name="_Toc1670318231"/>
      <w:r>
        <w:rPr>
          <w:rFonts w:hint="eastAsia" w:ascii="Courier New" w:hAnsi="Courier New" w:eastAsia="华文中宋"/>
          <w:bCs w:val="0"/>
          <w:kern w:val="2"/>
          <w:sz w:val="30"/>
          <w:szCs w:val="32"/>
          <w:lang w:val="zh-CN"/>
        </w:rPr>
        <w:t>第二部分</w:t>
      </w:r>
      <w:r>
        <w:rPr>
          <w:rFonts w:hint="eastAsia" w:ascii="Courier New" w:hAnsi="Courier New" w:eastAsia="华文中宋"/>
          <w:bCs w:val="0"/>
          <w:kern w:val="2"/>
          <w:sz w:val="30"/>
          <w:szCs w:val="32"/>
          <w:lang w:val="en-US" w:eastAsia="zh-CN"/>
        </w:rPr>
        <w:t xml:space="preserve"> </w:t>
      </w:r>
      <w:r>
        <w:rPr>
          <w:rFonts w:hint="eastAsia" w:ascii="Courier New" w:hAnsi="Courier New" w:eastAsia="华文中宋"/>
          <w:bCs w:val="0"/>
          <w:kern w:val="2"/>
          <w:sz w:val="30"/>
          <w:szCs w:val="32"/>
          <w:lang w:val="zh-CN"/>
        </w:rPr>
        <w:t>交易所债券市场</w:t>
      </w:r>
      <w:bookmarkEnd w:id="196"/>
      <w:bookmarkEnd w:id="197"/>
      <w:bookmarkEnd w:id="198"/>
      <w:bookmarkEnd w:id="199"/>
      <w:bookmarkEnd w:id="200"/>
      <w:bookmarkEnd w:id="201"/>
      <w:bookmarkEnd w:id="202"/>
      <w:bookmarkEnd w:id="203"/>
      <w:bookmarkEnd w:id="204"/>
    </w:p>
    <w:p>
      <w:pPr>
        <w:pStyle w:val="3"/>
        <w:ind w:firstLine="602"/>
        <w:rPr>
          <w:rFonts w:ascii="宋体" w:hAnsi="宋体"/>
          <w:szCs w:val="36"/>
        </w:rPr>
      </w:pPr>
      <w:bookmarkStart w:id="205" w:name="_Toc503027113"/>
      <w:bookmarkStart w:id="206" w:name="_Toc110431093"/>
      <w:bookmarkStart w:id="207" w:name="_Toc193177155"/>
      <w:bookmarkStart w:id="208" w:name="_Toc1657661845"/>
      <w:bookmarkStart w:id="209" w:name="_Toc12377"/>
      <w:bookmarkStart w:id="210" w:name="_Toc335559190"/>
      <w:bookmarkStart w:id="211" w:name="_Toc2139093874"/>
      <w:bookmarkStart w:id="212" w:name="_Toc4756"/>
      <w:bookmarkStart w:id="213" w:name="_Toc6957"/>
      <w:r>
        <w:rPr>
          <w:rFonts w:hint="eastAsia" w:ascii="宋体" w:hAnsi="宋体"/>
          <w:szCs w:val="36"/>
        </w:rPr>
        <w:t>（一）评级业务管理</w:t>
      </w:r>
      <w:bookmarkEnd w:id="205"/>
      <w:bookmarkEnd w:id="206"/>
      <w:bookmarkEnd w:id="207"/>
      <w:bookmarkEnd w:id="208"/>
      <w:bookmarkEnd w:id="209"/>
      <w:bookmarkEnd w:id="210"/>
      <w:bookmarkEnd w:id="211"/>
      <w:bookmarkEnd w:id="212"/>
      <w:bookmarkEnd w:id="213"/>
    </w:p>
    <w:p>
      <w:pPr>
        <w:pStyle w:val="4"/>
        <w:ind w:firstLine="602"/>
        <w:rPr>
          <w:rFonts w:ascii="仿宋_GB2312" w:hAnsi="仿宋_GB2312" w:cs="仿宋_GB2312"/>
          <w:b w:val="0"/>
          <w:szCs w:val="22"/>
        </w:rPr>
      </w:pPr>
      <w:bookmarkStart w:id="214" w:name="_Toc20837"/>
      <w:bookmarkStart w:id="215" w:name="_Toc268760094"/>
      <w:bookmarkStart w:id="216" w:name="_Toc1492963575"/>
      <w:bookmarkStart w:id="217" w:name="_Toc902917826"/>
      <w:bookmarkStart w:id="218" w:name="_Toc582750788"/>
      <w:bookmarkStart w:id="219" w:name="_Toc1621319008"/>
      <w:bookmarkStart w:id="220" w:name="_Toc7090"/>
      <w:r>
        <w:rPr>
          <w:rFonts w:hint="eastAsia" w:ascii="仿宋_GB2312" w:hAnsi="仿宋_GB2312" w:cs="仿宋_GB2312"/>
          <w:bCs w:val="0"/>
          <w:szCs w:val="22"/>
        </w:rPr>
        <w:t>1.《</w:t>
      </w:r>
      <w:r>
        <w:rPr>
          <w:rFonts w:hint="eastAsia" w:ascii="仿宋_GB2312" w:hAnsi="仿宋_GB2312" w:cs="仿宋_GB2312"/>
          <w:szCs w:val="22"/>
        </w:rPr>
        <w:t>证券市场资信评级业务管理办法</w:t>
      </w:r>
      <w:r>
        <w:rPr>
          <w:rFonts w:hint="eastAsia" w:ascii="仿宋_GB2312" w:hAnsi="仿宋_GB2312" w:cs="仿宋_GB2312"/>
          <w:bCs w:val="0"/>
          <w:szCs w:val="22"/>
        </w:rPr>
        <w:t>》（</w:t>
      </w:r>
      <w:r>
        <w:rPr>
          <w:rFonts w:ascii="仿宋_GB2312" w:hAnsi="仿宋_GB2312" w:cs="仿宋_GB2312"/>
          <w:szCs w:val="22"/>
        </w:rPr>
        <w:t>2021</w:t>
      </w:r>
      <w:r>
        <w:rPr>
          <w:rFonts w:hint="eastAsia" w:ascii="仿宋_GB2312" w:hAnsi="仿宋_GB2312" w:cs="仿宋_GB2312"/>
          <w:szCs w:val="22"/>
        </w:rPr>
        <w:t>年</w:t>
      </w:r>
      <w:r>
        <w:rPr>
          <w:rFonts w:ascii="仿宋_GB2312" w:hAnsi="仿宋_GB2312" w:cs="仿宋_GB2312"/>
          <w:szCs w:val="22"/>
        </w:rPr>
        <w:t>2</w:t>
      </w:r>
      <w:r>
        <w:rPr>
          <w:rFonts w:hint="eastAsia" w:ascii="仿宋_GB2312" w:hAnsi="仿宋_GB2312" w:cs="仿宋_GB2312"/>
          <w:szCs w:val="22"/>
        </w:rPr>
        <w:t>月</w:t>
      </w:r>
      <w:r>
        <w:rPr>
          <w:rFonts w:ascii="仿宋_GB2312" w:hAnsi="仿宋_GB2312" w:cs="仿宋_GB2312"/>
          <w:szCs w:val="22"/>
        </w:rPr>
        <w:t>26</w:t>
      </w:r>
      <w:r>
        <w:rPr>
          <w:rFonts w:hint="eastAsia" w:ascii="仿宋_GB2312" w:hAnsi="仿宋_GB2312" w:cs="仿宋_GB2312"/>
          <w:szCs w:val="22"/>
        </w:rPr>
        <w:t>日公布并施行</w:t>
      </w:r>
      <w:r>
        <w:rPr>
          <w:rFonts w:hint="eastAsia" w:ascii="仿宋_GB2312" w:hAnsi="仿宋_GB2312" w:cs="仿宋_GB2312"/>
          <w:bCs w:val="0"/>
          <w:szCs w:val="22"/>
        </w:rPr>
        <w:t>）</w:t>
      </w:r>
      <w:bookmarkEnd w:id="214"/>
      <w:bookmarkEnd w:id="215"/>
      <w:bookmarkEnd w:id="216"/>
      <w:bookmarkEnd w:id="217"/>
      <w:bookmarkEnd w:id="218"/>
      <w:bookmarkEnd w:id="219"/>
      <w:bookmarkEnd w:id="220"/>
    </w:p>
    <w:p>
      <w:pPr>
        <w:ind w:firstLine="600" w:firstLineChars="200"/>
        <w:rPr>
          <w:rFonts w:ascii="Times New Roman" w:eastAsia="仿宋_GB2312"/>
          <w:color w:val="000000"/>
          <w:szCs w:val="30"/>
          <w:lang w:bidi="zh-CN"/>
        </w:rPr>
      </w:pPr>
      <w:r>
        <w:rPr>
          <w:rFonts w:hint="eastAsia" w:ascii="仿宋_GB2312" w:hAnsi="仿宋_GB2312" w:eastAsia="仿宋_GB2312" w:cs="仿宋_GB2312"/>
          <w:sz w:val="30"/>
          <w:szCs w:val="30"/>
        </w:rPr>
        <w:t>掌握中国证监会制定本办法的目的和关于对证券市场资信评级业务实施备案管理的规定；掌握本办法规定的证券评级业务范围；掌握证券评级业务应遵循的原则；掌握证券评级业务的监管部门和监管方式；掌握资信评级机构向中国证监会备案和重大事项备案的相关要求；掌握鼓励具备相应条件的资信评级机构开展证券评级业务的规定；掌握证券评级机构从事证券评级业务的基本要求；掌握证券评级机构因与评级委托方或者评级对象存在利害关系不得受托开展评级业务的情形；掌握证券评级机构及其从业人员应当实施业务回避的情形；掌握证券评级机构按照本办法要求应建立相关制度的规定，包括评级方法与程序、评级质量控制、尽职调查、三级审核程序、信用评审委员会、复评制度、评级结果公布、跟踪评级、信息保密、业务档案管理制度等；掌握关于评级项目组组长的业务资格和项目组从事评级工作的有关规定；掌握在对评级报告有异议时，评级委托方、受评机构或受评证券发行人另行委托其他证券评级机构评级时对评级结果公布的有关规定；熟悉对证券评级机构董事、监事和高管人员兼职和投资的限制及其从业要求的有关规定；掌握证券评级机构信息披露的基本要求和相关信息变更时的备案规定；掌握证券评级机构评级质量相关信息披露的规定；了解关于证券评级机构对外提供融资和担保的规定；掌握向中国证监会派出机构报送年度报告及报告主要内容的规定；熟悉中国证监会对证券评级机构进行现场或非现场检查的规定；掌握证券评级机构违法、违规时的相关处罚规定。</w:t>
      </w:r>
    </w:p>
    <w:p>
      <w:pPr>
        <w:pStyle w:val="4"/>
        <w:ind w:firstLine="602"/>
        <w:rPr>
          <w:rFonts w:ascii="仿宋_GB2312" w:hAnsi="仿宋_GB2312" w:cs="仿宋_GB2312"/>
          <w:bCs w:val="0"/>
          <w:szCs w:val="22"/>
        </w:rPr>
      </w:pPr>
      <w:bookmarkStart w:id="221" w:name="_Toc21021"/>
      <w:bookmarkStart w:id="222" w:name="_Toc1196465032"/>
      <w:bookmarkStart w:id="223" w:name="_Toc3"/>
      <w:bookmarkStart w:id="224" w:name="_Toc625967408"/>
      <w:bookmarkStart w:id="225" w:name="_Toc110431094"/>
      <w:bookmarkStart w:id="226" w:name="_Toc256545465"/>
      <w:bookmarkStart w:id="227" w:name="_Toc588973954"/>
      <w:bookmarkStart w:id="228" w:name="_Toc3029"/>
      <w:bookmarkStart w:id="229" w:name="_Toc1501318961"/>
      <w:r>
        <w:rPr>
          <w:rFonts w:hint="eastAsia" w:ascii="仿宋_GB2312" w:hAnsi="仿宋_GB2312" w:cs="仿宋_GB2312"/>
          <w:bCs w:val="0"/>
          <w:szCs w:val="22"/>
        </w:rPr>
        <w:t>2.《证券市场资信评级机构执业规范》（2023年10月20日发布并施行）</w:t>
      </w:r>
      <w:bookmarkEnd w:id="221"/>
      <w:bookmarkEnd w:id="222"/>
      <w:bookmarkEnd w:id="223"/>
      <w:bookmarkEnd w:id="224"/>
      <w:bookmarkEnd w:id="225"/>
      <w:bookmarkEnd w:id="226"/>
      <w:bookmarkEnd w:id="227"/>
      <w:bookmarkEnd w:id="228"/>
      <w:bookmarkEnd w:id="229"/>
    </w:p>
    <w:p>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了解本办法规定的证券市场资信评级业务范围；掌握证券评级机构高级管理人员的界定；掌握合规管理人员及其履职的相关规定；掌握合规检查报告的内容；掌握证券评级机构及其评级从业人员的禁止性行为规定；掌握评级方法、模型的相关要求；掌握以违约率为核心的评级质量验证机制；掌握评级业务的主要程序及相关工作要求；熟悉评级业务档案资料的内容；掌握跟踪评级的工作要求；掌握评级终止或撤销的若干情形；掌握建立证券评级业务利益冲突防范制度的规定；掌握证券评级机构各部门和从业人员保持独立性的要求。</w:t>
      </w:r>
      <w:bookmarkStart w:id="230" w:name="_Toc937306825"/>
      <w:bookmarkStart w:id="231" w:name="_Toc1120259371"/>
      <w:bookmarkStart w:id="232" w:name="_Toc986028207"/>
      <w:bookmarkStart w:id="233" w:name="_Toc1922059321"/>
      <w:bookmarkStart w:id="234" w:name="_Toc909077996"/>
      <w:bookmarkStart w:id="235" w:name="_Toc110431095"/>
      <w:bookmarkStart w:id="236" w:name="_Toc32295"/>
      <w:bookmarkStart w:id="237" w:name="_Toc2158"/>
      <w:bookmarkStart w:id="238" w:name="_Toc25873"/>
    </w:p>
    <w:p>
      <w:pPr>
        <w:pStyle w:val="4"/>
        <w:ind w:firstLine="602"/>
        <w:rPr>
          <w:rFonts w:ascii="仿宋_GB2312" w:hAnsi="仿宋_GB2312" w:cs="仿宋_GB2312"/>
          <w:bCs w:val="0"/>
          <w:szCs w:val="22"/>
        </w:rPr>
      </w:pPr>
      <w:r>
        <w:rPr>
          <w:rFonts w:hint="eastAsia" w:ascii="仿宋_GB2312" w:hAnsi="仿宋_GB2312" w:cs="仿宋_GB2312"/>
          <w:bCs w:val="0"/>
          <w:szCs w:val="22"/>
        </w:rPr>
        <w:t>3.《</w:t>
      </w:r>
      <w:r>
        <w:rPr>
          <w:rFonts w:ascii="仿宋_GB2312" w:hAnsi="仿宋_GB2312" w:cs="仿宋_GB2312"/>
          <w:bCs w:val="0"/>
          <w:szCs w:val="22"/>
        </w:rPr>
        <w:t>证券市场资信评级机构信息披露指引</w:t>
      </w:r>
      <w:r>
        <w:rPr>
          <w:rFonts w:hint="eastAsia" w:ascii="仿宋_GB2312" w:hAnsi="仿宋_GB2312" w:cs="仿宋_GB2312"/>
          <w:bCs w:val="0"/>
          <w:szCs w:val="22"/>
        </w:rPr>
        <w:t>》（2023年10月20日发布并施行）</w:t>
      </w:r>
      <w:bookmarkEnd w:id="230"/>
      <w:bookmarkEnd w:id="231"/>
      <w:bookmarkEnd w:id="232"/>
      <w:bookmarkEnd w:id="233"/>
      <w:bookmarkEnd w:id="234"/>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掌握证券评级机构应当建立信息披露事务管理制度的相关要求；掌握证券评级机构及从业人员的信息披露要求；掌握证券评级业务的信息披露要求；掌握独立性的信息披露要求；掌握评级质量的信息披露要求。</w:t>
      </w:r>
    </w:p>
    <w:p>
      <w:pPr>
        <w:pStyle w:val="4"/>
        <w:ind w:firstLine="602"/>
        <w:rPr>
          <w:rFonts w:ascii="仿宋_GB2312" w:hAnsi="仿宋_GB2312" w:cs="仿宋_GB2312"/>
          <w:bCs w:val="0"/>
          <w:szCs w:val="22"/>
        </w:rPr>
      </w:pPr>
      <w:bookmarkStart w:id="239" w:name="_Toc543073784"/>
      <w:bookmarkStart w:id="240" w:name="_Toc1943259317"/>
      <w:bookmarkStart w:id="241" w:name="_Toc185498367"/>
      <w:bookmarkStart w:id="242" w:name="_Toc1808314087"/>
      <w:bookmarkStart w:id="243" w:name="_Toc617072510"/>
      <w:r>
        <w:rPr>
          <w:rFonts w:ascii="仿宋_GB2312" w:hAnsi="仿宋_GB2312" w:cs="仿宋_GB2312"/>
          <w:bCs w:val="0"/>
          <w:szCs w:val="22"/>
        </w:rPr>
        <w:t>4</w:t>
      </w:r>
      <w:r>
        <w:rPr>
          <w:rFonts w:hint="eastAsia" w:ascii="仿宋_GB2312" w:hAnsi="仿宋_GB2312" w:cs="仿宋_GB2312"/>
          <w:bCs w:val="0"/>
          <w:szCs w:val="22"/>
        </w:rPr>
        <w:t>.《</w:t>
      </w:r>
      <w:r>
        <w:rPr>
          <w:rFonts w:ascii="仿宋_GB2312" w:hAnsi="仿宋_GB2312" w:cs="仿宋_GB2312"/>
          <w:bCs w:val="0"/>
          <w:szCs w:val="22"/>
        </w:rPr>
        <w:t>证券市场资信评级机构尽职调查指引</w:t>
      </w:r>
      <w:r>
        <w:rPr>
          <w:rFonts w:hint="eastAsia" w:ascii="仿宋_GB2312" w:hAnsi="仿宋_GB2312" w:cs="仿宋_GB2312"/>
          <w:bCs w:val="0"/>
          <w:szCs w:val="22"/>
        </w:rPr>
        <w:t>》（2023年10月20日发布并施行）</w:t>
      </w:r>
      <w:bookmarkEnd w:id="239"/>
      <w:bookmarkEnd w:id="240"/>
      <w:bookmarkEnd w:id="241"/>
      <w:bookmarkEnd w:id="242"/>
      <w:bookmarkEnd w:id="243"/>
    </w:p>
    <w:p>
      <w:pPr>
        <w:ind w:firstLine="600"/>
        <w:rPr>
          <w:rFonts w:ascii="Times New Roman" w:eastAsia="仿宋_GB2312"/>
          <w:color w:val="000000"/>
          <w:sz w:val="30"/>
          <w:szCs w:val="30"/>
        </w:rPr>
      </w:pPr>
      <w:bookmarkStart w:id="244" w:name="_Toc1691103677"/>
      <w:bookmarkStart w:id="245" w:name="_Toc1131480923"/>
      <w:bookmarkStart w:id="246" w:name="_Toc609912056"/>
      <w:r>
        <w:rPr>
          <w:rFonts w:hint="eastAsia" w:ascii="Times New Roman" w:eastAsia="仿宋_GB2312"/>
          <w:color w:val="000000"/>
          <w:sz w:val="30"/>
          <w:szCs w:val="30"/>
        </w:rPr>
        <w:t>了解尽职调查的定义和应遵循的原则；掌握评级机构应履行的特别注意义务和普通注意义务；掌握尽职调查的内容；掌握尽职调查的方法；了解尽职调查工作底稿相关要求。</w:t>
      </w:r>
      <w:bookmarkEnd w:id="244"/>
      <w:bookmarkEnd w:id="245"/>
      <w:bookmarkEnd w:id="246"/>
    </w:p>
    <w:p>
      <w:pPr>
        <w:pStyle w:val="4"/>
        <w:ind w:firstLine="602"/>
        <w:rPr>
          <w:rFonts w:ascii="仿宋_GB2312" w:hAnsi="仿宋_GB2312" w:cs="仿宋_GB2312"/>
          <w:bCs w:val="0"/>
          <w:szCs w:val="22"/>
        </w:rPr>
      </w:pPr>
      <w:bookmarkStart w:id="247" w:name="_Toc1867658291"/>
      <w:bookmarkStart w:id="248" w:name="_Toc1249229755"/>
      <w:bookmarkStart w:id="249" w:name="_Toc1855850965"/>
      <w:bookmarkStart w:id="250" w:name="_Toc909610260"/>
      <w:bookmarkStart w:id="251" w:name="_Toc1502052633"/>
      <w:r>
        <w:rPr>
          <w:rFonts w:ascii="仿宋_GB2312" w:hAnsi="仿宋_GB2312" w:cs="仿宋_GB2312"/>
          <w:bCs w:val="0"/>
          <w:szCs w:val="22"/>
        </w:rPr>
        <w:t>5</w:t>
      </w:r>
      <w:r>
        <w:rPr>
          <w:rFonts w:hint="eastAsia" w:ascii="仿宋_GB2312" w:hAnsi="仿宋_GB2312" w:cs="仿宋_GB2312"/>
          <w:bCs w:val="0"/>
          <w:szCs w:val="22"/>
        </w:rPr>
        <w:t>.《</w:t>
      </w:r>
      <w:r>
        <w:rPr>
          <w:rFonts w:ascii="仿宋_GB2312" w:hAnsi="仿宋_GB2312" w:cs="仿宋_GB2312"/>
          <w:bCs w:val="0"/>
          <w:szCs w:val="22"/>
        </w:rPr>
        <w:t>证券市场资信评级机构尽职调查工作底稿目录细则</w:t>
      </w:r>
      <w:r>
        <w:rPr>
          <w:rFonts w:hint="eastAsia" w:ascii="仿宋_GB2312" w:hAnsi="仿宋_GB2312" w:cs="仿宋_GB2312"/>
          <w:bCs w:val="0"/>
          <w:szCs w:val="22"/>
        </w:rPr>
        <w:t>》（2023年10月20日发布并施行）</w:t>
      </w:r>
      <w:bookmarkEnd w:id="247"/>
      <w:bookmarkEnd w:id="248"/>
      <w:bookmarkEnd w:id="249"/>
      <w:bookmarkEnd w:id="250"/>
      <w:bookmarkEnd w:id="251"/>
    </w:p>
    <w:p>
      <w:pPr>
        <w:ind w:firstLine="600"/>
        <w:rPr>
          <w:rFonts w:ascii="Times New Roman" w:eastAsia="仿宋_GB2312"/>
          <w:color w:val="000000"/>
          <w:sz w:val="30"/>
          <w:szCs w:val="30"/>
        </w:rPr>
      </w:pPr>
      <w:r>
        <w:rPr>
          <w:rFonts w:hint="eastAsia" w:ascii="Times New Roman" w:eastAsia="仿宋_GB2312"/>
          <w:color w:val="000000"/>
          <w:sz w:val="30"/>
          <w:szCs w:val="30"/>
        </w:rPr>
        <w:t>熟悉工作底稿的定义及作用；了解工作底稿的内容及留存形式。</w:t>
      </w:r>
    </w:p>
    <w:p>
      <w:pPr>
        <w:pStyle w:val="4"/>
        <w:ind w:firstLine="602"/>
        <w:rPr>
          <w:rFonts w:ascii="仿宋_GB2312" w:hAnsi="仿宋_GB2312" w:cs="仿宋_GB2312"/>
          <w:bCs w:val="0"/>
          <w:szCs w:val="22"/>
        </w:rPr>
      </w:pPr>
      <w:bookmarkStart w:id="252" w:name="_Toc511707904"/>
      <w:bookmarkStart w:id="253" w:name="_Toc800113815"/>
      <w:bookmarkStart w:id="254" w:name="_Toc952407036"/>
      <w:bookmarkStart w:id="255" w:name="_Toc701326704"/>
      <w:bookmarkStart w:id="256" w:name="_Toc1739284616"/>
      <w:r>
        <w:rPr>
          <w:rFonts w:ascii="仿宋_GB2312" w:hAnsi="仿宋_GB2312" w:cs="仿宋_GB2312"/>
          <w:bCs w:val="0"/>
          <w:szCs w:val="22"/>
        </w:rPr>
        <w:t>6</w:t>
      </w:r>
      <w:r>
        <w:rPr>
          <w:rFonts w:hint="eastAsia" w:ascii="仿宋_GB2312" w:hAnsi="仿宋_GB2312" w:cs="仿宋_GB2312"/>
          <w:bCs w:val="0"/>
          <w:szCs w:val="22"/>
        </w:rPr>
        <w:t>.《</w:t>
      </w:r>
      <w:r>
        <w:rPr>
          <w:rFonts w:ascii="仿宋_GB2312" w:hAnsi="仿宋_GB2312" w:cs="仿宋_GB2312"/>
          <w:bCs w:val="0"/>
          <w:szCs w:val="22"/>
        </w:rPr>
        <w:t>证券服务机构从事证券服务业务备案管理规定</w:t>
      </w:r>
      <w:r>
        <w:rPr>
          <w:rFonts w:hint="eastAsia" w:ascii="仿宋_GB2312" w:hAnsi="仿宋_GB2312" w:cs="仿宋_GB2312"/>
          <w:bCs w:val="0"/>
          <w:szCs w:val="22"/>
        </w:rPr>
        <w:t>》（20</w:t>
      </w:r>
      <w:r>
        <w:rPr>
          <w:rFonts w:ascii="仿宋_GB2312" w:hAnsi="仿宋_GB2312" w:cs="仿宋_GB2312"/>
          <w:bCs w:val="0"/>
          <w:szCs w:val="22"/>
        </w:rPr>
        <w:t>20</w:t>
      </w:r>
      <w:r>
        <w:rPr>
          <w:rFonts w:hint="eastAsia" w:ascii="仿宋_GB2312" w:hAnsi="仿宋_GB2312" w:cs="仿宋_GB2312"/>
          <w:bCs w:val="0"/>
          <w:szCs w:val="22"/>
        </w:rPr>
        <w:t>年</w:t>
      </w:r>
      <w:r>
        <w:rPr>
          <w:rFonts w:ascii="仿宋_GB2312" w:hAnsi="仿宋_GB2312" w:cs="仿宋_GB2312"/>
          <w:bCs w:val="0"/>
          <w:szCs w:val="22"/>
        </w:rPr>
        <w:t>7</w:t>
      </w:r>
      <w:r>
        <w:rPr>
          <w:rFonts w:hint="eastAsia" w:ascii="仿宋_GB2312" w:hAnsi="仿宋_GB2312" w:cs="仿宋_GB2312"/>
          <w:bCs w:val="0"/>
          <w:szCs w:val="22"/>
        </w:rPr>
        <w:t>月</w:t>
      </w:r>
      <w:r>
        <w:rPr>
          <w:rFonts w:ascii="仿宋_GB2312" w:hAnsi="仿宋_GB2312" w:cs="仿宋_GB2312"/>
          <w:bCs w:val="0"/>
          <w:szCs w:val="22"/>
        </w:rPr>
        <w:t>24</w:t>
      </w:r>
      <w:r>
        <w:rPr>
          <w:rFonts w:hint="eastAsia" w:ascii="仿宋_GB2312" w:hAnsi="仿宋_GB2312" w:cs="仿宋_GB2312"/>
          <w:bCs w:val="0"/>
          <w:szCs w:val="22"/>
        </w:rPr>
        <w:t>日</w:t>
      </w:r>
      <w:r>
        <w:rPr>
          <w:rFonts w:ascii="仿宋_GB2312" w:hAnsi="仿宋_GB2312" w:cs="仿宋_GB2312"/>
          <w:bCs w:val="0"/>
          <w:szCs w:val="22"/>
        </w:rPr>
        <w:t>公布</w:t>
      </w:r>
      <w:r>
        <w:rPr>
          <w:rFonts w:hint="eastAsia" w:ascii="仿宋_GB2312" w:hAnsi="仿宋_GB2312" w:cs="仿宋_GB2312"/>
          <w:bCs w:val="0"/>
          <w:szCs w:val="22"/>
        </w:rPr>
        <w:t>，20</w:t>
      </w:r>
      <w:r>
        <w:rPr>
          <w:rFonts w:ascii="仿宋_GB2312" w:hAnsi="仿宋_GB2312" w:cs="仿宋_GB2312"/>
          <w:bCs w:val="0"/>
          <w:szCs w:val="22"/>
        </w:rPr>
        <w:t>20</w:t>
      </w:r>
      <w:r>
        <w:rPr>
          <w:rFonts w:hint="eastAsia" w:ascii="仿宋_GB2312" w:hAnsi="仿宋_GB2312" w:cs="仿宋_GB2312"/>
          <w:bCs w:val="0"/>
          <w:szCs w:val="22"/>
        </w:rPr>
        <w:t>年</w:t>
      </w:r>
      <w:r>
        <w:rPr>
          <w:rFonts w:ascii="仿宋_GB2312" w:hAnsi="仿宋_GB2312" w:cs="仿宋_GB2312"/>
          <w:bCs w:val="0"/>
          <w:szCs w:val="22"/>
        </w:rPr>
        <w:t>8</w:t>
      </w:r>
      <w:r>
        <w:rPr>
          <w:rFonts w:hint="eastAsia" w:ascii="仿宋_GB2312" w:hAnsi="仿宋_GB2312" w:cs="仿宋_GB2312"/>
          <w:bCs w:val="0"/>
          <w:szCs w:val="22"/>
        </w:rPr>
        <w:t>月24日起施行）</w:t>
      </w:r>
      <w:bookmarkEnd w:id="252"/>
      <w:bookmarkEnd w:id="253"/>
      <w:bookmarkEnd w:id="254"/>
      <w:bookmarkEnd w:id="255"/>
      <w:bookmarkEnd w:id="256"/>
    </w:p>
    <w:p>
      <w:pPr>
        <w:ind w:firstLine="600"/>
        <w:rPr>
          <w:rFonts w:ascii="Times New Roman" w:eastAsia="仿宋_GB2312"/>
          <w:color w:val="000000"/>
          <w:sz w:val="30"/>
          <w:szCs w:val="30"/>
        </w:rPr>
      </w:pPr>
      <w:r>
        <w:rPr>
          <w:rFonts w:hint="eastAsia" w:ascii="Times New Roman" w:eastAsia="仿宋_GB2312"/>
          <w:color w:val="000000"/>
          <w:sz w:val="30"/>
          <w:szCs w:val="30"/>
        </w:rPr>
        <w:t>掌握证券评级机构应当向中国证监会备案的情形及备案时间；了解证券服务机构年度备案、重大事项备案的相关要求。</w:t>
      </w:r>
    </w:p>
    <w:bookmarkEnd w:id="235"/>
    <w:bookmarkEnd w:id="236"/>
    <w:bookmarkEnd w:id="237"/>
    <w:bookmarkEnd w:id="238"/>
    <w:p>
      <w:pPr>
        <w:pStyle w:val="3"/>
        <w:ind w:firstLine="602"/>
        <w:rPr>
          <w:rFonts w:ascii="宋体" w:hAnsi="宋体"/>
          <w:szCs w:val="36"/>
        </w:rPr>
      </w:pPr>
      <w:bookmarkStart w:id="257" w:name="_Toc842162457"/>
      <w:bookmarkStart w:id="258" w:name="_Toc8909"/>
      <w:bookmarkStart w:id="259" w:name="_Toc8723"/>
      <w:bookmarkStart w:id="260" w:name="_Toc1365"/>
      <w:bookmarkStart w:id="261" w:name="_Toc703022365"/>
      <w:bookmarkStart w:id="262" w:name="_Toc1700659145"/>
      <w:bookmarkStart w:id="263" w:name="_Toc1941612047"/>
      <w:bookmarkStart w:id="264" w:name="_Toc949141386"/>
      <w:bookmarkStart w:id="265" w:name="_Toc110431096"/>
      <w:r>
        <w:rPr>
          <w:rFonts w:hint="eastAsia" w:ascii="宋体" w:hAnsi="宋体"/>
          <w:szCs w:val="36"/>
        </w:rPr>
        <w:t>（二）债券发行与交易</w:t>
      </w:r>
      <w:bookmarkEnd w:id="257"/>
      <w:bookmarkEnd w:id="258"/>
      <w:bookmarkEnd w:id="259"/>
      <w:bookmarkEnd w:id="260"/>
      <w:bookmarkEnd w:id="261"/>
      <w:bookmarkEnd w:id="262"/>
      <w:bookmarkEnd w:id="263"/>
      <w:bookmarkEnd w:id="264"/>
      <w:bookmarkEnd w:id="265"/>
    </w:p>
    <w:p>
      <w:pPr>
        <w:pStyle w:val="4"/>
        <w:ind w:firstLine="602"/>
        <w:rPr>
          <w:rFonts w:ascii="仿宋_GB2312" w:hAnsi="仿宋_GB2312" w:cs="仿宋_GB2312"/>
          <w:bCs w:val="0"/>
          <w:szCs w:val="22"/>
        </w:rPr>
      </w:pPr>
      <w:bookmarkStart w:id="266" w:name="_Toc4930"/>
      <w:bookmarkStart w:id="267" w:name="_Toc1323219636"/>
      <w:bookmarkStart w:id="268" w:name="_Toc15458"/>
      <w:bookmarkStart w:id="269" w:name="_Toc1044"/>
      <w:bookmarkStart w:id="270" w:name="_Toc110431097"/>
      <w:bookmarkStart w:id="271" w:name="_Toc1804110702"/>
      <w:bookmarkStart w:id="272" w:name="_Toc1090229259"/>
      <w:bookmarkStart w:id="273" w:name="_Toc267913017"/>
      <w:bookmarkStart w:id="274" w:name="_Toc1814885701"/>
      <w:r>
        <w:rPr>
          <w:rFonts w:hint="eastAsia" w:ascii="仿宋_GB2312" w:hAnsi="仿宋_GB2312" w:cs="仿宋_GB2312"/>
          <w:bCs w:val="0"/>
          <w:szCs w:val="22"/>
        </w:rPr>
        <w:t>1.《公司债券发行与交易管理办法》（</w:t>
      </w:r>
      <w:r>
        <w:rPr>
          <w:rFonts w:ascii="仿宋_GB2312" w:hAnsi="仿宋_GB2312" w:cs="仿宋_GB2312"/>
          <w:szCs w:val="22"/>
        </w:rPr>
        <w:t>202</w:t>
      </w:r>
      <w:r>
        <w:rPr>
          <w:rFonts w:hint="eastAsia" w:ascii="仿宋_GB2312" w:hAnsi="仿宋_GB2312" w:cs="仿宋_GB2312"/>
          <w:szCs w:val="22"/>
        </w:rPr>
        <w:t>3年10月20日</w:t>
      </w:r>
      <w:r>
        <w:rPr>
          <w:rFonts w:hint="eastAsia" w:ascii="仿宋_GB2312" w:hAnsi="仿宋_GB2312" w:cs="仿宋_GB2312"/>
          <w:szCs w:val="22"/>
          <w:lang w:eastAsia="zh-CN"/>
        </w:rPr>
        <w:t>公布</w:t>
      </w:r>
      <w:r>
        <w:rPr>
          <w:rFonts w:hint="eastAsia" w:ascii="仿宋_GB2312" w:hAnsi="仿宋_GB2312" w:cs="仿宋_GB2312"/>
          <w:szCs w:val="22"/>
        </w:rPr>
        <w:t>并施行</w:t>
      </w:r>
      <w:r>
        <w:rPr>
          <w:rFonts w:hint="eastAsia" w:ascii="仿宋_GB2312" w:hAnsi="仿宋_GB2312" w:cs="仿宋_GB2312"/>
          <w:bCs w:val="0"/>
          <w:szCs w:val="22"/>
        </w:rPr>
        <w:t>）</w:t>
      </w:r>
      <w:bookmarkEnd w:id="266"/>
      <w:bookmarkEnd w:id="267"/>
      <w:bookmarkEnd w:id="268"/>
      <w:bookmarkEnd w:id="269"/>
      <w:bookmarkEnd w:id="270"/>
      <w:bookmarkEnd w:id="271"/>
      <w:bookmarkEnd w:id="272"/>
      <w:bookmarkEnd w:id="273"/>
      <w:bookmarkEnd w:id="274"/>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w:t>
      </w:r>
      <w:r>
        <w:rPr>
          <w:rFonts w:ascii="Times New Roman" w:eastAsia="仿宋_GB2312"/>
          <w:color w:val="000000"/>
          <w:sz w:val="30"/>
          <w:szCs w:val="30"/>
        </w:rPr>
        <w:t>公司债券的定义和发行</w:t>
      </w:r>
      <w:r>
        <w:rPr>
          <w:rFonts w:hint="eastAsia" w:ascii="Times New Roman" w:eastAsia="仿宋_GB2312"/>
          <w:color w:val="000000"/>
          <w:sz w:val="30"/>
          <w:szCs w:val="30"/>
        </w:rPr>
        <w:t>方式；了解</w:t>
      </w:r>
      <w:r>
        <w:rPr>
          <w:rFonts w:ascii="Times New Roman" w:eastAsia="仿宋_GB2312"/>
          <w:color w:val="000000"/>
          <w:sz w:val="30"/>
          <w:szCs w:val="30"/>
        </w:rPr>
        <w:t>公司债券发行</w:t>
      </w:r>
      <w:r>
        <w:rPr>
          <w:rFonts w:hint="eastAsia" w:ascii="Times New Roman" w:eastAsia="仿宋_GB2312"/>
          <w:color w:val="000000"/>
          <w:sz w:val="30"/>
          <w:szCs w:val="30"/>
        </w:rPr>
        <w:t>决议的事项；</w:t>
      </w:r>
      <w:r>
        <w:rPr>
          <w:rFonts w:ascii="Times New Roman" w:eastAsia="仿宋_GB2312"/>
          <w:color w:val="000000"/>
          <w:sz w:val="30"/>
          <w:szCs w:val="30"/>
        </w:rPr>
        <w:t>掌握关于公司债券募集资金用途的规定</w:t>
      </w:r>
      <w:r>
        <w:rPr>
          <w:rFonts w:hint="eastAsia" w:ascii="Times New Roman" w:eastAsia="仿宋_GB2312"/>
          <w:color w:val="000000"/>
          <w:sz w:val="30"/>
          <w:szCs w:val="30"/>
        </w:rPr>
        <w:t>；熟悉公开发行公司债券应符合的条件；熟悉不得再次公开发行公司债券的情形；了解专业投资者和普通投资者可以参与认购的公开发行公司债券应符合的资信状况标准；熟悉中国</w:t>
      </w:r>
      <w:r>
        <w:rPr>
          <w:rFonts w:ascii="Times New Roman" w:eastAsia="仿宋_GB2312"/>
          <w:color w:val="000000"/>
          <w:sz w:val="30"/>
          <w:szCs w:val="30"/>
        </w:rPr>
        <w:t>证监会对</w:t>
      </w:r>
      <w:r>
        <w:rPr>
          <w:rFonts w:hint="eastAsia" w:ascii="Times New Roman" w:eastAsia="仿宋_GB2312"/>
          <w:color w:val="000000"/>
          <w:sz w:val="30"/>
          <w:szCs w:val="30"/>
        </w:rPr>
        <w:t>公开发行</w:t>
      </w:r>
      <w:r>
        <w:rPr>
          <w:rFonts w:ascii="Times New Roman" w:eastAsia="仿宋_GB2312"/>
          <w:color w:val="000000"/>
          <w:sz w:val="30"/>
          <w:szCs w:val="30"/>
        </w:rPr>
        <w:t>公司债券</w:t>
      </w:r>
      <w:r>
        <w:rPr>
          <w:rFonts w:hint="eastAsia" w:ascii="Times New Roman" w:eastAsia="仿宋_GB2312"/>
          <w:color w:val="000000"/>
          <w:sz w:val="30"/>
          <w:szCs w:val="30"/>
        </w:rPr>
        <w:t>的注册程序；了解公司债券非公开发行及转让的相关规定；熟悉发行人应当及时披露的可能对上市交易公司债券的交易价格产生较大影响的重大事项；掌握资信评级机构为公开发行公司债券进行信用评级应当符合的规定或约定；</w:t>
      </w:r>
      <w:r>
        <w:rPr>
          <w:rFonts w:ascii="Times New Roman" w:eastAsia="仿宋_GB2312"/>
          <w:color w:val="000000"/>
          <w:sz w:val="30"/>
          <w:szCs w:val="30"/>
        </w:rPr>
        <w:t>熟悉关于债券受托管理人职责和债券持有</w:t>
      </w:r>
      <w:r>
        <w:rPr>
          <w:rFonts w:hint="eastAsia" w:ascii="Times New Roman" w:eastAsia="仿宋_GB2312"/>
          <w:color w:val="000000"/>
          <w:sz w:val="30"/>
          <w:szCs w:val="30"/>
        </w:rPr>
        <w:t>人</w:t>
      </w:r>
      <w:r>
        <w:rPr>
          <w:rFonts w:ascii="Times New Roman" w:eastAsia="仿宋_GB2312"/>
          <w:color w:val="000000"/>
          <w:sz w:val="30"/>
          <w:szCs w:val="30"/>
        </w:rPr>
        <w:t>会议</w:t>
      </w:r>
      <w:r>
        <w:rPr>
          <w:rFonts w:hint="eastAsia" w:ascii="Times New Roman" w:eastAsia="仿宋_GB2312"/>
          <w:color w:val="000000"/>
          <w:sz w:val="30"/>
          <w:szCs w:val="30"/>
        </w:rPr>
        <w:t>规则</w:t>
      </w:r>
      <w:r>
        <w:rPr>
          <w:rFonts w:ascii="Times New Roman" w:eastAsia="仿宋_GB2312"/>
          <w:color w:val="000000"/>
          <w:sz w:val="30"/>
          <w:szCs w:val="30"/>
        </w:rPr>
        <w:t>的规定</w:t>
      </w:r>
      <w:r>
        <w:rPr>
          <w:rFonts w:hint="eastAsia" w:ascii="Times New Roman" w:eastAsia="仿宋_GB2312"/>
          <w:color w:val="000000"/>
          <w:sz w:val="30"/>
          <w:szCs w:val="30"/>
        </w:rPr>
        <w:t>；掌握关于内外部增信机制、偿债保障措施的规定。</w:t>
      </w:r>
    </w:p>
    <w:p>
      <w:pPr>
        <w:pStyle w:val="4"/>
        <w:ind w:firstLine="602"/>
        <w:rPr>
          <w:rFonts w:ascii="仿宋_GB2312" w:hAnsi="仿宋_GB2312" w:cs="仿宋_GB2312"/>
          <w:bCs w:val="0"/>
          <w:szCs w:val="22"/>
        </w:rPr>
      </w:pPr>
      <w:bookmarkStart w:id="275" w:name="_Toc836017558"/>
      <w:bookmarkStart w:id="276" w:name="_Toc1968126755"/>
      <w:bookmarkStart w:id="277" w:name="_Toc1657131953"/>
      <w:bookmarkStart w:id="278" w:name="_Toc1090173946"/>
      <w:bookmarkStart w:id="279" w:name="_Toc32859722"/>
      <w:bookmarkStart w:id="280" w:name="_Toc13705"/>
      <w:bookmarkStart w:id="281" w:name="_Toc18901"/>
      <w:bookmarkStart w:id="282" w:name="_Toc7370"/>
      <w:bookmarkStart w:id="283" w:name="_Toc110431099"/>
      <w:r>
        <w:rPr>
          <w:rFonts w:hint="eastAsia" w:ascii="仿宋_GB2312" w:hAnsi="仿宋_GB2312" w:cs="仿宋_GB2312"/>
          <w:bCs w:val="0"/>
          <w:szCs w:val="22"/>
        </w:rPr>
        <w:t>2.《上市公司证券发行注册管理办法》（20</w:t>
      </w:r>
      <w:r>
        <w:rPr>
          <w:rFonts w:ascii="仿宋_GB2312" w:hAnsi="仿宋_GB2312" w:cs="仿宋_GB2312"/>
          <w:bCs w:val="0"/>
          <w:szCs w:val="22"/>
        </w:rPr>
        <w:t>23</w:t>
      </w:r>
      <w:r>
        <w:rPr>
          <w:rFonts w:hint="eastAsia" w:ascii="仿宋_GB2312" w:hAnsi="仿宋_GB2312" w:cs="仿宋_GB2312"/>
          <w:bCs w:val="0"/>
          <w:szCs w:val="22"/>
        </w:rPr>
        <w:t>年</w:t>
      </w:r>
      <w:r>
        <w:rPr>
          <w:rFonts w:ascii="仿宋_GB2312" w:hAnsi="仿宋_GB2312" w:cs="仿宋_GB2312"/>
          <w:bCs w:val="0"/>
          <w:szCs w:val="22"/>
        </w:rPr>
        <w:t>2</w:t>
      </w:r>
      <w:r>
        <w:rPr>
          <w:rFonts w:hint="eastAsia" w:ascii="仿宋_GB2312" w:hAnsi="仿宋_GB2312" w:cs="仿宋_GB2312"/>
          <w:bCs w:val="0"/>
          <w:szCs w:val="22"/>
        </w:rPr>
        <w:t>月</w:t>
      </w:r>
      <w:r>
        <w:rPr>
          <w:rFonts w:ascii="仿宋_GB2312" w:hAnsi="仿宋_GB2312" w:cs="仿宋_GB2312"/>
          <w:bCs w:val="0"/>
          <w:szCs w:val="22"/>
        </w:rPr>
        <w:t>17</w:t>
      </w:r>
      <w:r>
        <w:rPr>
          <w:rFonts w:hint="eastAsia" w:ascii="仿宋_GB2312" w:hAnsi="仿宋_GB2312" w:cs="仿宋_GB2312"/>
          <w:bCs w:val="0"/>
          <w:szCs w:val="22"/>
        </w:rPr>
        <w:t>日公布并施行）</w:t>
      </w:r>
      <w:bookmarkEnd w:id="275"/>
      <w:bookmarkEnd w:id="276"/>
      <w:bookmarkEnd w:id="277"/>
      <w:bookmarkEnd w:id="278"/>
      <w:bookmarkEnd w:id="279"/>
    </w:p>
    <w:p>
      <w:pPr>
        <w:ind w:firstLine="600"/>
        <w:rPr>
          <w:rFonts w:ascii="Times New Roman" w:eastAsia="仿宋_GB2312"/>
          <w:color w:val="000000"/>
          <w:sz w:val="30"/>
          <w:szCs w:val="30"/>
        </w:rPr>
      </w:pPr>
      <w:r>
        <w:rPr>
          <w:rFonts w:hint="eastAsia" w:ascii="Times New Roman" w:eastAsia="仿宋_GB2312"/>
          <w:color w:val="000000"/>
          <w:sz w:val="30"/>
          <w:szCs w:val="30"/>
        </w:rPr>
        <w:t>了解上市公司发行证券的方式；了解上市公司发行股票应当符合的条件；熟悉上市公司发行可转债应当符合的条件；熟悉上市公司证券发行中证券服务机构应当履行的义务；掌握资信评级机构及其业务人员对其出具的文件署名和承担相应责任的规定；掌握关于募集说明书等证券发行信息披露文件所引用的资信评级报告对出具机构及签署人员的要求。</w:t>
      </w:r>
    </w:p>
    <w:p>
      <w:pPr>
        <w:pStyle w:val="4"/>
        <w:ind w:firstLine="602"/>
        <w:rPr>
          <w:rFonts w:ascii="仿宋_GB2312" w:hAnsi="仿宋_GB2312" w:cs="仿宋_GB2312"/>
          <w:bCs w:val="0"/>
          <w:szCs w:val="22"/>
        </w:rPr>
      </w:pPr>
      <w:bookmarkStart w:id="284" w:name="_Toc1028682905"/>
      <w:bookmarkStart w:id="285" w:name="_Toc2798918"/>
      <w:bookmarkStart w:id="286" w:name="_Toc1060438088"/>
      <w:bookmarkStart w:id="287" w:name="_Toc2069713688"/>
      <w:bookmarkStart w:id="288" w:name="_Toc612949543"/>
      <w:r>
        <w:rPr>
          <w:rFonts w:hint="eastAsia" w:ascii="仿宋_GB2312" w:hAnsi="仿宋_GB2312" w:cs="仿宋_GB2312"/>
          <w:bCs w:val="0"/>
          <w:szCs w:val="22"/>
        </w:rPr>
        <w:t>3.《可转换公司债券管理办法》（</w:t>
      </w:r>
      <w:r>
        <w:rPr>
          <w:rFonts w:ascii="仿宋_GB2312" w:hAnsi="仿宋_GB2312" w:cs="仿宋_GB2312"/>
          <w:bCs w:val="0"/>
          <w:szCs w:val="22"/>
        </w:rPr>
        <w:t>2020</w:t>
      </w:r>
      <w:r>
        <w:rPr>
          <w:rFonts w:hint="eastAsia" w:ascii="仿宋_GB2312" w:hAnsi="仿宋_GB2312" w:cs="仿宋_GB2312"/>
          <w:bCs w:val="0"/>
          <w:szCs w:val="22"/>
        </w:rPr>
        <w:t>年</w:t>
      </w:r>
      <w:r>
        <w:rPr>
          <w:rFonts w:ascii="仿宋_GB2312" w:hAnsi="仿宋_GB2312" w:cs="仿宋_GB2312"/>
          <w:bCs w:val="0"/>
          <w:szCs w:val="22"/>
        </w:rPr>
        <w:t>12</w:t>
      </w:r>
      <w:r>
        <w:rPr>
          <w:rFonts w:hint="eastAsia" w:ascii="仿宋_GB2312" w:hAnsi="仿宋_GB2312" w:cs="仿宋_GB2312"/>
          <w:bCs w:val="0"/>
          <w:szCs w:val="22"/>
        </w:rPr>
        <w:t>月</w:t>
      </w:r>
      <w:r>
        <w:rPr>
          <w:rFonts w:ascii="仿宋_GB2312" w:hAnsi="仿宋_GB2312" w:cs="仿宋_GB2312"/>
          <w:bCs w:val="0"/>
          <w:szCs w:val="22"/>
        </w:rPr>
        <w:t>31</w:t>
      </w:r>
      <w:r>
        <w:rPr>
          <w:rFonts w:hint="eastAsia" w:ascii="仿宋_GB2312" w:hAnsi="仿宋_GB2312" w:cs="仿宋_GB2312"/>
          <w:bCs w:val="0"/>
          <w:szCs w:val="22"/>
        </w:rPr>
        <w:t>日公布，</w:t>
      </w:r>
      <w:r>
        <w:rPr>
          <w:rFonts w:ascii="仿宋_GB2312" w:hAnsi="仿宋_GB2312" w:cs="仿宋_GB2312"/>
          <w:bCs w:val="0"/>
          <w:szCs w:val="22"/>
        </w:rPr>
        <w:t>2021</w:t>
      </w:r>
      <w:r>
        <w:rPr>
          <w:rFonts w:hint="eastAsia" w:ascii="仿宋_GB2312" w:hAnsi="仿宋_GB2312" w:cs="仿宋_GB2312"/>
          <w:bCs w:val="0"/>
          <w:szCs w:val="22"/>
        </w:rPr>
        <w:t>年</w:t>
      </w:r>
      <w:r>
        <w:rPr>
          <w:rFonts w:ascii="仿宋_GB2312" w:hAnsi="仿宋_GB2312" w:cs="仿宋_GB2312"/>
          <w:bCs w:val="0"/>
          <w:szCs w:val="22"/>
        </w:rPr>
        <w:t>1</w:t>
      </w:r>
      <w:r>
        <w:rPr>
          <w:rFonts w:hint="eastAsia" w:ascii="仿宋_GB2312" w:hAnsi="仿宋_GB2312" w:cs="仿宋_GB2312"/>
          <w:bCs w:val="0"/>
          <w:szCs w:val="22"/>
        </w:rPr>
        <w:t>月</w:t>
      </w:r>
      <w:r>
        <w:rPr>
          <w:rFonts w:ascii="仿宋_GB2312" w:hAnsi="仿宋_GB2312" w:cs="仿宋_GB2312"/>
          <w:bCs w:val="0"/>
          <w:szCs w:val="22"/>
        </w:rPr>
        <w:t>31</w:t>
      </w:r>
      <w:r>
        <w:rPr>
          <w:rFonts w:hint="eastAsia" w:ascii="仿宋_GB2312" w:hAnsi="仿宋_GB2312" w:cs="仿宋_GB2312"/>
          <w:bCs w:val="0"/>
          <w:szCs w:val="22"/>
        </w:rPr>
        <w:t>日起施行）</w:t>
      </w:r>
      <w:bookmarkEnd w:id="280"/>
      <w:bookmarkEnd w:id="281"/>
      <w:bookmarkEnd w:id="282"/>
      <w:bookmarkEnd w:id="283"/>
      <w:bookmarkEnd w:id="284"/>
      <w:bookmarkEnd w:id="285"/>
      <w:bookmarkEnd w:id="286"/>
      <w:bookmarkEnd w:id="287"/>
      <w:bookmarkEnd w:id="288"/>
    </w:p>
    <w:p>
      <w:pPr>
        <w:ind w:firstLine="600" w:firstLineChars="200"/>
      </w:pPr>
      <w:r>
        <w:rPr>
          <w:rFonts w:ascii="Times New Roman" w:eastAsia="仿宋_GB2312"/>
          <w:color w:val="000000"/>
          <w:sz w:val="30"/>
          <w:szCs w:val="30"/>
        </w:rPr>
        <w:t>熟悉</w:t>
      </w:r>
      <w:r>
        <w:rPr>
          <w:rFonts w:hint="eastAsia" w:ascii="Times New Roman" w:eastAsia="仿宋_GB2312"/>
          <w:color w:val="000000"/>
          <w:sz w:val="30"/>
          <w:szCs w:val="30"/>
        </w:rPr>
        <w:t>可转换公司债券的</w:t>
      </w:r>
      <w:r>
        <w:rPr>
          <w:rFonts w:ascii="Times New Roman" w:eastAsia="仿宋_GB2312"/>
          <w:color w:val="000000"/>
          <w:sz w:val="30"/>
          <w:szCs w:val="30"/>
        </w:rPr>
        <w:t>基本规定</w:t>
      </w:r>
      <w:r>
        <w:rPr>
          <w:rFonts w:hint="eastAsia" w:ascii="Times New Roman" w:eastAsia="仿宋_GB2312"/>
          <w:color w:val="000000"/>
          <w:sz w:val="30"/>
          <w:szCs w:val="30"/>
        </w:rPr>
        <w:t>；了解可转换公司债券的发行和交易方式；</w:t>
      </w:r>
      <w:r>
        <w:rPr>
          <w:rFonts w:ascii="Times New Roman" w:eastAsia="仿宋_GB2312"/>
          <w:color w:val="000000"/>
          <w:sz w:val="30"/>
          <w:szCs w:val="30"/>
        </w:rPr>
        <w:t>掌握可</w:t>
      </w:r>
      <w:r>
        <w:rPr>
          <w:rFonts w:hint="eastAsia" w:ascii="Times New Roman" w:eastAsia="仿宋_GB2312"/>
          <w:color w:val="000000"/>
          <w:sz w:val="30"/>
          <w:szCs w:val="30"/>
        </w:rPr>
        <w:t>转换公司债券</w:t>
      </w:r>
      <w:r>
        <w:rPr>
          <w:rFonts w:ascii="Times New Roman" w:eastAsia="仿宋_GB2312"/>
          <w:color w:val="000000"/>
          <w:sz w:val="30"/>
          <w:szCs w:val="30"/>
        </w:rPr>
        <w:t>可以转换的期限要求、转换价格</w:t>
      </w:r>
      <w:r>
        <w:rPr>
          <w:rFonts w:hint="eastAsia" w:ascii="Times New Roman" w:eastAsia="仿宋_GB2312"/>
          <w:color w:val="000000"/>
          <w:sz w:val="30"/>
          <w:szCs w:val="30"/>
        </w:rPr>
        <w:t>、选择权，</w:t>
      </w:r>
      <w:r>
        <w:rPr>
          <w:rFonts w:ascii="Times New Roman" w:eastAsia="仿宋_GB2312"/>
          <w:color w:val="000000"/>
          <w:sz w:val="30"/>
          <w:szCs w:val="30"/>
        </w:rPr>
        <w:t>以及</w:t>
      </w:r>
      <w:r>
        <w:rPr>
          <w:rFonts w:hint="eastAsia" w:ascii="Times New Roman" w:eastAsia="仿宋_GB2312"/>
          <w:color w:val="000000"/>
          <w:sz w:val="30"/>
          <w:szCs w:val="30"/>
        </w:rPr>
        <w:t>转股价格调整的原则及方式；</w:t>
      </w:r>
      <w:r>
        <w:rPr>
          <w:rFonts w:ascii="Times New Roman" w:eastAsia="仿宋_GB2312"/>
          <w:color w:val="000000"/>
          <w:sz w:val="30"/>
          <w:szCs w:val="30"/>
        </w:rPr>
        <w:t>掌握可</w:t>
      </w:r>
      <w:r>
        <w:rPr>
          <w:rFonts w:hint="eastAsia" w:ascii="Times New Roman" w:eastAsia="仿宋_GB2312"/>
          <w:color w:val="000000"/>
          <w:sz w:val="30"/>
          <w:szCs w:val="30"/>
        </w:rPr>
        <w:t>转换公司债券的赎回条款和回售条款。</w:t>
      </w:r>
    </w:p>
    <w:p>
      <w:pPr>
        <w:pStyle w:val="4"/>
        <w:ind w:firstLine="602"/>
        <w:rPr>
          <w:rFonts w:ascii="仿宋_GB2312" w:hAnsi="仿宋_GB2312" w:cs="仿宋_GB2312"/>
          <w:bCs w:val="0"/>
          <w:szCs w:val="22"/>
        </w:rPr>
      </w:pPr>
      <w:bookmarkStart w:id="289" w:name="_Toc476669229"/>
      <w:bookmarkStart w:id="290" w:name="_Toc15671"/>
      <w:bookmarkStart w:id="291" w:name="_Toc1597"/>
      <w:bookmarkStart w:id="292" w:name="_Toc1910588184"/>
      <w:bookmarkStart w:id="293" w:name="_Toc110431100"/>
      <w:bookmarkStart w:id="294" w:name="_Toc1033141055"/>
      <w:bookmarkStart w:id="295" w:name="_Toc1214984007"/>
      <w:bookmarkStart w:id="296" w:name="_Toc4427"/>
      <w:bookmarkStart w:id="297" w:name="_Toc988972420"/>
      <w:r>
        <w:rPr>
          <w:rFonts w:hint="eastAsia" w:ascii="仿宋_GB2312" w:hAnsi="仿宋_GB2312" w:cs="仿宋_GB2312"/>
          <w:bCs w:val="0"/>
          <w:szCs w:val="22"/>
        </w:rPr>
        <w:t>4.《上市公司股东发行可交换公司债券试行规定》（2008年10月17日公布并施行）</w:t>
      </w:r>
      <w:bookmarkEnd w:id="289"/>
      <w:bookmarkEnd w:id="290"/>
      <w:bookmarkEnd w:id="291"/>
      <w:bookmarkEnd w:id="292"/>
      <w:bookmarkEnd w:id="293"/>
      <w:bookmarkEnd w:id="294"/>
      <w:bookmarkEnd w:id="295"/>
      <w:bookmarkEnd w:id="296"/>
      <w:bookmarkEnd w:id="297"/>
    </w:p>
    <w:p>
      <w:pPr>
        <w:ind w:firstLine="600" w:firstLineChars="200"/>
        <w:rPr>
          <w:rFonts w:ascii="Times New Roman" w:eastAsia="仿宋_GB2312"/>
          <w:color w:val="000000"/>
          <w:sz w:val="30"/>
          <w:szCs w:val="30"/>
        </w:rPr>
      </w:pPr>
      <w:r>
        <w:rPr>
          <w:rFonts w:ascii="Times New Roman" w:eastAsia="仿宋_GB2312"/>
          <w:color w:val="000000"/>
          <w:sz w:val="30"/>
          <w:szCs w:val="30"/>
        </w:rPr>
        <w:t>熟悉发行可交换公司债券的基本规定</w:t>
      </w:r>
      <w:r>
        <w:rPr>
          <w:rFonts w:hint="eastAsia" w:ascii="Times New Roman" w:eastAsia="仿宋_GB2312"/>
          <w:color w:val="000000"/>
          <w:sz w:val="30"/>
          <w:szCs w:val="30"/>
        </w:rPr>
        <w:t>；</w:t>
      </w:r>
      <w:r>
        <w:rPr>
          <w:rFonts w:ascii="Times New Roman" w:eastAsia="仿宋_GB2312"/>
          <w:color w:val="000000"/>
          <w:sz w:val="30"/>
          <w:szCs w:val="30"/>
        </w:rPr>
        <w:t>熟悉可交换债券的期限、面值以及发行价格确定机制</w:t>
      </w:r>
      <w:r>
        <w:rPr>
          <w:rFonts w:hint="eastAsia" w:ascii="Times New Roman" w:eastAsia="仿宋_GB2312"/>
          <w:color w:val="000000"/>
          <w:sz w:val="30"/>
          <w:szCs w:val="30"/>
        </w:rPr>
        <w:t>；</w:t>
      </w:r>
      <w:r>
        <w:rPr>
          <w:rFonts w:ascii="Times New Roman" w:eastAsia="仿宋_GB2312"/>
          <w:color w:val="000000"/>
          <w:sz w:val="30"/>
          <w:szCs w:val="30"/>
        </w:rPr>
        <w:t>了解可交换公司债券的发行程序</w:t>
      </w:r>
      <w:r>
        <w:rPr>
          <w:rFonts w:hint="eastAsia" w:ascii="Times New Roman" w:eastAsia="仿宋_GB2312"/>
          <w:color w:val="000000"/>
          <w:sz w:val="30"/>
          <w:szCs w:val="30"/>
        </w:rPr>
        <w:t>；</w:t>
      </w:r>
      <w:r>
        <w:rPr>
          <w:rFonts w:ascii="Times New Roman" w:eastAsia="仿宋_GB2312"/>
          <w:color w:val="000000"/>
          <w:sz w:val="30"/>
          <w:szCs w:val="30"/>
        </w:rPr>
        <w:t>了解有关债券受托管理和债券持有人权益保护事项的规定</w:t>
      </w:r>
      <w:r>
        <w:rPr>
          <w:rFonts w:hint="eastAsia" w:ascii="Times New Roman" w:eastAsia="仿宋_GB2312"/>
          <w:color w:val="000000"/>
          <w:sz w:val="30"/>
          <w:szCs w:val="30"/>
        </w:rPr>
        <w:t>；</w:t>
      </w:r>
      <w:r>
        <w:rPr>
          <w:rFonts w:ascii="Times New Roman" w:eastAsia="仿宋_GB2312"/>
          <w:color w:val="000000"/>
          <w:sz w:val="30"/>
          <w:szCs w:val="30"/>
        </w:rPr>
        <w:t>掌握可交换公司债券担保合同事项。</w:t>
      </w:r>
    </w:p>
    <w:p>
      <w:pPr>
        <w:pStyle w:val="4"/>
        <w:ind w:firstLine="602"/>
        <w:rPr>
          <w:rFonts w:ascii="仿宋_GB2312" w:hAnsi="仿宋_GB2312" w:cs="仿宋_GB2312"/>
          <w:bCs w:val="0"/>
          <w:szCs w:val="22"/>
        </w:rPr>
      </w:pPr>
      <w:bookmarkStart w:id="298" w:name="_Toc73707809"/>
      <w:bookmarkStart w:id="299" w:name="_Toc861526148"/>
      <w:bookmarkStart w:id="300" w:name="_Toc170180218"/>
      <w:bookmarkStart w:id="301" w:name="_Toc1888160630"/>
      <w:bookmarkStart w:id="302" w:name="_Toc2017098063"/>
      <w:bookmarkStart w:id="303" w:name="_Toc110431101"/>
      <w:bookmarkStart w:id="304" w:name="_Toc24606"/>
      <w:bookmarkStart w:id="305" w:name="_Toc949"/>
      <w:bookmarkStart w:id="306" w:name="_Toc4048"/>
      <w:r>
        <w:rPr>
          <w:rFonts w:ascii="仿宋_GB2312" w:hAnsi="仿宋_GB2312" w:cs="仿宋_GB2312"/>
          <w:bCs w:val="0"/>
          <w:szCs w:val="22"/>
        </w:rPr>
        <w:t>5</w:t>
      </w:r>
      <w:r>
        <w:rPr>
          <w:rFonts w:hint="eastAsia" w:ascii="仿宋_GB2312" w:hAnsi="仿宋_GB2312" w:cs="仿宋_GB2312"/>
          <w:bCs w:val="0"/>
          <w:szCs w:val="22"/>
        </w:rPr>
        <w:t>.《上海证券交易所公司债券发行上市审核规则》（2023年10月20日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并施行）、《深圳证券交易所公司债券发行上市审核规则》（2023年10月20日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并施行）及《北京证券交易所公司债券发行上市审核规则》（2023年10月20日发布并施行）</w:t>
      </w:r>
      <w:bookmarkEnd w:id="298"/>
      <w:bookmarkEnd w:id="299"/>
      <w:bookmarkEnd w:id="300"/>
      <w:bookmarkEnd w:id="301"/>
      <w:bookmarkEnd w:id="302"/>
    </w:p>
    <w:p>
      <w:pPr>
        <w:pStyle w:val="9"/>
        <w:ind w:firstLine="600"/>
        <w:rPr>
          <w:rFonts w:ascii="Times New Roman" w:hAnsi="Calibri" w:eastAsia="仿宋_GB2312"/>
          <w:color w:val="000000"/>
          <w:kern w:val="2"/>
          <w:szCs w:val="30"/>
        </w:rPr>
      </w:pPr>
      <w:r>
        <w:rPr>
          <w:rFonts w:hint="eastAsia" w:ascii="Times New Roman" w:hAnsi="Calibri" w:eastAsia="仿宋_GB2312"/>
          <w:color w:val="000000"/>
          <w:kern w:val="2"/>
          <w:szCs w:val="30"/>
        </w:rPr>
        <w:t>了解交易所对公司债券发行上市的审核内容；熟悉关于证券服务机构履行核查把关责任、提高信息披露质量的相关规定；熟悉证券服务机构对审核问询的回复要求。</w:t>
      </w:r>
    </w:p>
    <w:p>
      <w:pPr>
        <w:pStyle w:val="4"/>
        <w:ind w:firstLine="602"/>
        <w:rPr>
          <w:rFonts w:ascii="仿宋_GB2312" w:hAnsi="仿宋_GB2312" w:cs="仿宋_GB2312"/>
          <w:bCs w:val="0"/>
          <w:szCs w:val="22"/>
        </w:rPr>
      </w:pPr>
      <w:bookmarkStart w:id="307" w:name="_Toc1553082711"/>
      <w:bookmarkStart w:id="308" w:name="_Toc1930282526"/>
      <w:bookmarkStart w:id="309" w:name="_Toc1336175137"/>
      <w:bookmarkStart w:id="310" w:name="_Toc514892678"/>
      <w:bookmarkStart w:id="311" w:name="_Toc216189960"/>
      <w:r>
        <w:rPr>
          <w:rFonts w:ascii="仿宋_GB2312" w:hAnsi="仿宋_GB2312" w:cs="仿宋_GB2312"/>
          <w:bCs w:val="0"/>
          <w:szCs w:val="22"/>
        </w:rPr>
        <w:t>6.</w:t>
      </w:r>
      <w:r>
        <w:rPr>
          <w:rFonts w:hint="eastAsia" w:ascii="仿宋_GB2312" w:hAnsi="仿宋_GB2312" w:cs="仿宋_GB2312"/>
          <w:bCs w:val="0"/>
          <w:szCs w:val="22"/>
        </w:rPr>
        <w:t>《上海证券交易所公司债券发行上市审核规则适用指引第3号——审核重点关注事项（2023年修订）》（2023年10月20日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并施行）、《深圳证券交易所公司债券发行上市审核业务指引第2号——审核重点关注事项（2023年修订）》（2023年10月20日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并施行）及《北京证券交易所公司债券发行上市审核规则适用指引第3号——审核重点关注事项》（2023年10月20日发布并施行）</w:t>
      </w:r>
      <w:bookmarkEnd w:id="307"/>
      <w:bookmarkEnd w:id="308"/>
      <w:bookmarkEnd w:id="309"/>
      <w:bookmarkEnd w:id="310"/>
      <w:bookmarkEnd w:id="311"/>
    </w:p>
    <w:p>
      <w:pPr>
        <w:pStyle w:val="9"/>
        <w:ind w:firstLine="600"/>
        <w:rPr>
          <w:rFonts w:hint="eastAsia" w:ascii="Times New Roman" w:hAnsi="Calibri" w:eastAsia="仿宋_GB2312"/>
          <w:color w:val="000000"/>
          <w:kern w:val="2"/>
          <w:szCs w:val="30"/>
          <w:lang w:eastAsia="zh-CN"/>
        </w:rPr>
      </w:pPr>
      <w:r>
        <w:rPr>
          <w:rFonts w:hint="eastAsia" w:ascii="Times New Roman" w:hAnsi="Calibri" w:eastAsia="仿宋_GB2312"/>
          <w:color w:val="000000"/>
          <w:kern w:val="2"/>
          <w:szCs w:val="30"/>
        </w:rPr>
        <w:t>了解关于发行人公司治理与组织机构运行情况的审核重点关注事项；了解关于发行人财务信息披露的审核重点关注事项；了解关于特定情形发行人的审核重点关注事项；了解关于募集资金用途的审核重点关注事项</w:t>
      </w:r>
      <w:r>
        <w:rPr>
          <w:rFonts w:hint="eastAsia" w:ascii="Times New Roman" w:hAnsi="Calibri" w:eastAsia="仿宋_GB2312"/>
          <w:color w:val="000000"/>
          <w:kern w:val="2"/>
          <w:szCs w:val="30"/>
          <w:lang w:eastAsia="zh-CN"/>
        </w:rPr>
        <w:t>。</w:t>
      </w:r>
    </w:p>
    <w:p>
      <w:pPr>
        <w:pStyle w:val="4"/>
        <w:ind w:firstLine="602"/>
        <w:rPr>
          <w:rFonts w:ascii="仿宋_GB2312" w:hAnsi="仿宋_GB2312" w:cs="仿宋_GB2312"/>
          <w:bCs w:val="0"/>
          <w:szCs w:val="22"/>
        </w:rPr>
      </w:pPr>
      <w:bookmarkStart w:id="312" w:name="_Toc1874836372"/>
      <w:bookmarkStart w:id="313" w:name="_Toc2056012128"/>
      <w:bookmarkStart w:id="314" w:name="_Toc1752752626"/>
      <w:bookmarkStart w:id="315" w:name="_Toc228114687"/>
      <w:bookmarkStart w:id="316" w:name="_Toc1114287437"/>
      <w:r>
        <w:rPr>
          <w:rFonts w:ascii="仿宋_GB2312" w:hAnsi="仿宋_GB2312" w:cs="仿宋_GB2312"/>
          <w:bCs w:val="0"/>
          <w:szCs w:val="22"/>
        </w:rPr>
        <w:t>7.</w:t>
      </w:r>
      <w:r>
        <w:rPr>
          <w:rFonts w:hint="eastAsia" w:ascii="仿宋_GB2312" w:hAnsi="仿宋_GB2312" w:cs="仿宋_GB2312"/>
          <w:bCs w:val="0"/>
          <w:color w:val="000000"/>
          <w:szCs w:val="22"/>
        </w:rPr>
        <w:t>《上海证券交易所公司债券发行上市审核规则适用指引第6号——知名成熟发行人优化审核（2023年修订）》（2023年10月20日</w:t>
      </w:r>
      <w:r>
        <w:rPr>
          <w:rFonts w:hint="eastAsia" w:ascii="仿宋_GB2312" w:hAnsi="仿宋_GB2312" w:cs="仿宋_GB2312"/>
          <w:bCs w:val="0"/>
          <w:color w:val="000000"/>
          <w:szCs w:val="22"/>
          <w:lang w:eastAsia="zh-CN"/>
        </w:rPr>
        <w:t>发布</w:t>
      </w:r>
      <w:r>
        <w:rPr>
          <w:rFonts w:hint="eastAsia" w:ascii="仿宋_GB2312" w:hAnsi="仿宋_GB2312" w:cs="仿宋_GB2312"/>
          <w:bCs w:val="0"/>
          <w:color w:val="000000"/>
          <w:szCs w:val="22"/>
        </w:rPr>
        <w:t>并施行）、《深圳证券交易所公司债券发行上市审核业务指引第3号——优化审核安排》（2023年10月20日</w:t>
      </w:r>
      <w:r>
        <w:rPr>
          <w:rFonts w:hint="eastAsia" w:ascii="仿宋_GB2312" w:hAnsi="仿宋_GB2312" w:cs="仿宋_GB2312"/>
          <w:bCs w:val="0"/>
          <w:color w:val="000000"/>
          <w:szCs w:val="22"/>
          <w:lang w:eastAsia="zh-CN"/>
        </w:rPr>
        <w:t>发布</w:t>
      </w:r>
      <w:r>
        <w:rPr>
          <w:rFonts w:hint="eastAsia" w:ascii="仿宋_GB2312" w:hAnsi="仿宋_GB2312" w:cs="仿宋_GB2312"/>
          <w:bCs w:val="0"/>
          <w:color w:val="000000"/>
          <w:szCs w:val="22"/>
        </w:rPr>
        <w:t>并施行）</w:t>
      </w:r>
      <w:r>
        <w:rPr>
          <w:rFonts w:ascii="仿宋_GB2312" w:hAnsi="仿宋_GB2312" w:cs="仿宋_GB2312"/>
          <w:bCs w:val="0"/>
          <w:szCs w:val="22"/>
        </w:rPr>
        <w:t>及</w:t>
      </w:r>
      <w:r>
        <w:rPr>
          <w:rFonts w:hint="eastAsia" w:ascii="仿宋_GB2312" w:hAnsi="仿宋_GB2312" w:cs="仿宋_GB2312"/>
          <w:bCs w:val="0"/>
          <w:color w:val="000000"/>
          <w:szCs w:val="22"/>
        </w:rPr>
        <w:t>《北京证券交易所公司债券发行上市审核规则适用指引第6号——知名成熟发行人优化审核》</w:t>
      </w:r>
      <w:r>
        <w:rPr>
          <w:rFonts w:hint="eastAsia" w:ascii="仿宋_GB2312" w:hAnsi="仿宋_GB2312" w:cs="仿宋_GB2312"/>
          <w:bCs w:val="0"/>
          <w:szCs w:val="22"/>
        </w:rPr>
        <w:t>（2023年10月20日发布并施行）</w:t>
      </w:r>
      <w:bookmarkEnd w:id="312"/>
      <w:bookmarkEnd w:id="313"/>
      <w:bookmarkEnd w:id="314"/>
      <w:bookmarkEnd w:id="315"/>
      <w:bookmarkEnd w:id="316"/>
    </w:p>
    <w:p>
      <w:pPr>
        <w:pStyle w:val="9"/>
        <w:ind w:firstLine="600"/>
        <w:rPr>
          <w:rFonts w:ascii="Times New Roman" w:hAnsi="Calibri" w:eastAsia="仿宋_GB2312"/>
          <w:color w:val="000000"/>
          <w:kern w:val="2"/>
          <w:szCs w:val="30"/>
        </w:rPr>
      </w:pPr>
      <w:r>
        <w:rPr>
          <w:rFonts w:ascii="Times New Roman" w:hAnsi="Calibri" w:eastAsia="仿宋_GB2312"/>
          <w:color w:val="000000"/>
          <w:kern w:val="2"/>
          <w:szCs w:val="30"/>
        </w:rPr>
        <w:t>熟悉</w:t>
      </w:r>
      <w:r>
        <w:rPr>
          <w:rFonts w:hint="eastAsia" w:ascii="Times New Roman" w:hAnsi="Calibri" w:eastAsia="仿宋_GB2312"/>
          <w:color w:val="000000"/>
          <w:kern w:val="2"/>
          <w:szCs w:val="30"/>
        </w:rPr>
        <w:t>可优化审核的情形及优化审核措施</w:t>
      </w:r>
      <w:r>
        <w:rPr>
          <w:rFonts w:ascii="Times New Roman" w:hAnsi="Calibri" w:eastAsia="仿宋_GB2312"/>
          <w:color w:val="000000"/>
          <w:kern w:val="2"/>
          <w:szCs w:val="30"/>
        </w:rPr>
        <w:t>。</w:t>
      </w:r>
    </w:p>
    <w:p>
      <w:pPr>
        <w:pStyle w:val="4"/>
        <w:keepNext w:val="0"/>
        <w:keepLines w:val="0"/>
        <w:widowControl/>
        <w:ind w:firstLine="602"/>
        <w:jc w:val="left"/>
        <w:textAlignment w:val="center"/>
        <w:rPr>
          <w:rFonts w:ascii="仿宋_GB2312" w:hAnsi="仿宋_GB2312" w:cs="仿宋_GB2312"/>
          <w:bCs w:val="0"/>
          <w:szCs w:val="22"/>
        </w:rPr>
      </w:pPr>
      <w:bookmarkStart w:id="317" w:name="_Toc1558715439"/>
      <w:bookmarkStart w:id="318" w:name="_Toc2047827474"/>
      <w:bookmarkStart w:id="319" w:name="_Toc1477357887"/>
      <w:bookmarkStart w:id="320" w:name="_Toc433247912"/>
      <w:bookmarkStart w:id="321" w:name="_Toc1339879254"/>
      <w:r>
        <w:rPr>
          <w:rFonts w:ascii="仿宋_GB2312" w:hAnsi="仿宋_GB2312" w:cs="仿宋_GB2312"/>
          <w:bCs w:val="0"/>
          <w:szCs w:val="22"/>
        </w:rPr>
        <w:t>8.</w:t>
      </w:r>
      <w:r>
        <w:rPr>
          <w:rFonts w:hint="eastAsia" w:ascii="仿宋_GB2312" w:hAnsi="仿宋_GB2312" w:cs="仿宋_GB2312"/>
          <w:bCs w:val="0"/>
          <w:szCs w:val="22"/>
        </w:rPr>
        <w:t>《上海证券交易所公司债券上市规则（2023年修订）》（2023年10月20日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并施行）、《深圳证券交易所公司债券上市规则（2023年修订）》（2023年10月20日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并施行）及《北京证券交易所公司债券上市规则》（2023年10月20日发布并施行）</w:t>
      </w:r>
      <w:bookmarkEnd w:id="317"/>
      <w:bookmarkEnd w:id="318"/>
      <w:bookmarkEnd w:id="319"/>
      <w:bookmarkEnd w:id="320"/>
      <w:bookmarkEnd w:id="321"/>
    </w:p>
    <w:p>
      <w:pPr>
        <w:pStyle w:val="9"/>
        <w:ind w:firstLine="600"/>
        <w:rPr>
          <w:rFonts w:ascii="Times New Roman" w:hAnsi="Calibri" w:eastAsia="仿宋_GB2312"/>
          <w:color w:val="000000"/>
          <w:kern w:val="2"/>
          <w:szCs w:val="30"/>
        </w:rPr>
      </w:pPr>
      <w:r>
        <w:rPr>
          <w:rFonts w:hint="eastAsia" w:ascii="Times New Roman" w:hAnsi="Calibri" w:eastAsia="仿宋_GB2312"/>
          <w:color w:val="000000"/>
          <w:kern w:val="2"/>
          <w:szCs w:val="30"/>
        </w:rPr>
        <w:t>掌握资信评级机构信用跟踪评级的信息披露要求；熟悉债券受托管理人的职责；熟悉召开债券持有人会议的情形、程序及相关要求。</w:t>
      </w:r>
    </w:p>
    <w:p>
      <w:pPr>
        <w:pStyle w:val="4"/>
        <w:ind w:firstLine="602"/>
        <w:rPr>
          <w:rFonts w:ascii="仿宋_GB2312" w:hAnsi="仿宋_GB2312" w:cs="仿宋_GB2312"/>
          <w:bCs w:val="0"/>
          <w:szCs w:val="22"/>
        </w:rPr>
      </w:pPr>
      <w:bookmarkStart w:id="322" w:name="_Toc1420659126"/>
      <w:bookmarkStart w:id="323" w:name="_Toc1940037132"/>
      <w:bookmarkStart w:id="324" w:name="_Toc59778957"/>
      <w:bookmarkStart w:id="325" w:name="_Toc2058440007"/>
      <w:bookmarkStart w:id="326" w:name="_Toc2047488829"/>
      <w:r>
        <w:rPr>
          <w:rFonts w:hint="eastAsia" w:ascii="仿宋_GB2312" w:hAnsi="仿宋_GB2312" w:cs="仿宋_GB2312"/>
          <w:bCs w:val="0"/>
          <w:szCs w:val="22"/>
        </w:rPr>
        <w:t>9.《上海证券交易所非公开发行公司债券挂牌规则</w:t>
      </w:r>
      <w:r>
        <w:rPr>
          <w:rFonts w:ascii="仿宋_GB2312" w:hAnsi="仿宋_GB2312" w:cs="仿宋_GB2312"/>
          <w:bCs w:val="0"/>
          <w:szCs w:val="22"/>
        </w:rPr>
        <w:t>（2023年修订）</w:t>
      </w:r>
      <w:r>
        <w:rPr>
          <w:rFonts w:hint="eastAsia" w:ascii="仿宋_GB2312" w:hAnsi="仿宋_GB2312" w:cs="仿宋_GB2312"/>
          <w:bCs w:val="0"/>
          <w:szCs w:val="22"/>
        </w:rPr>
        <w:t>》（2023年10月20日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并施行）和</w:t>
      </w:r>
      <w:r>
        <w:rPr>
          <w:rFonts w:hint="eastAsia" w:ascii="仿宋_GB2312" w:hAnsi="仿宋_GB2312" w:cs="仿宋_GB2312"/>
          <w:szCs w:val="22"/>
        </w:rPr>
        <w:t>《深圳证券交易所非公开发行公司债券挂牌规则</w:t>
      </w:r>
      <w:r>
        <w:rPr>
          <w:rFonts w:ascii="仿宋_GB2312" w:hAnsi="仿宋_GB2312" w:cs="仿宋_GB2312"/>
          <w:bCs w:val="0"/>
          <w:szCs w:val="22"/>
        </w:rPr>
        <w:t>（2023年修订）</w:t>
      </w:r>
      <w:r>
        <w:rPr>
          <w:rFonts w:hint="eastAsia" w:ascii="仿宋_GB2312" w:hAnsi="仿宋_GB2312" w:cs="仿宋_GB2312"/>
          <w:szCs w:val="22"/>
        </w:rPr>
        <w:t>》</w:t>
      </w:r>
      <w:r>
        <w:rPr>
          <w:rFonts w:hint="eastAsia" w:ascii="仿宋_GB2312" w:hAnsi="仿宋_GB2312" w:cs="仿宋_GB2312"/>
          <w:bCs w:val="0"/>
          <w:szCs w:val="22"/>
        </w:rPr>
        <w:t>（</w:t>
      </w:r>
      <w:r>
        <w:rPr>
          <w:rFonts w:hint="eastAsia" w:ascii="仿宋_GB2312" w:hAnsi="仿宋_GB2312" w:cs="仿宋_GB2312"/>
          <w:szCs w:val="22"/>
        </w:rPr>
        <w:t>2023年10月20日</w:t>
      </w:r>
      <w:r>
        <w:rPr>
          <w:rFonts w:hint="eastAsia" w:ascii="仿宋_GB2312" w:hAnsi="仿宋_GB2312" w:cs="仿宋_GB2312"/>
          <w:szCs w:val="22"/>
          <w:lang w:eastAsia="zh-CN"/>
        </w:rPr>
        <w:t>发布</w:t>
      </w:r>
      <w:r>
        <w:rPr>
          <w:rFonts w:hint="eastAsia" w:ascii="仿宋_GB2312" w:hAnsi="仿宋_GB2312" w:cs="仿宋_GB2312"/>
          <w:szCs w:val="22"/>
        </w:rPr>
        <w:t>并施行</w:t>
      </w:r>
      <w:r>
        <w:rPr>
          <w:rFonts w:hint="eastAsia" w:ascii="仿宋_GB2312" w:hAnsi="仿宋_GB2312" w:cs="仿宋_GB2312"/>
          <w:bCs w:val="0"/>
          <w:szCs w:val="22"/>
        </w:rPr>
        <w:t>）</w:t>
      </w:r>
      <w:bookmarkEnd w:id="303"/>
      <w:bookmarkEnd w:id="304"/>
      <w:bookmarkEnd w:id="305"/>
      <w:bookmarkEnd w:id="306"/>
      <w:bookmarkEnd w:id="322"/>
      <w:bookmarkEnd w:id="323"/>
      <w:bookmarkEnd w:id="324"/>
      <w:bookmarkEnd w:id="325"/>
      <w:bookmarkEnd w:id="326"/>
    </w:p>
    <w:p>
      <w:pPr>
        <w:pStyle w:val="9"/>
        <w:ind w:firstLine="600" w:firstLineChars="200"/>
        <w:rPr>
          <w:rFonts w:ascii="Times New Roman" w:hAnsi="Times New Roman" w:eastAsia="仿宋_GB2312"/>
          <w:sz w:val="32"/>
          <w:szCs w:val="32"/>
        </w:rPr>
      </w:pPr>
      <w:r>
        <w:rPr>
          <w:rFonts w:hint="eastAsia" w:ascii="Times New Roman" w:hAnsi="Calibri" w:eastAsia="仿宋_GB2312"/>
          <w:color w:val="000000"/>
          <w:kern w:val="2"/>
          <w:szCs w:val="30"/>
        </w:rPr>
        <w:t>熟悉发行人申请债券挂牌应当符合的条件；了解发行人申请债券挂牌条件确认应提交的申请文件；熟悉发行人、增信主体、专业机构的信息披露义务；了解债券持有人权益保护的一般规定；了解债券暂停、恢复转让、终止挂牌的规则；了解交易所的纪律处分、监管措施。</w:t>
      </w:r>
    </w:p>
    <w:p>
      <w:pPr>
        <w:pStyle w:val="4"/>
        <w:ind w:firstLine="602"/>
        <w:rPr>
          <w:rFonts w:ascii="仿宋_GB2312" w:hAnsi="仿宋_GB2312" w:cs="仿宋_GB2312"/>
          <w:szCs w:val="22"/>
        </w:rPr>
      </w:pPr>
      <w:bookmarkStart w:id="327" w:name="_Toc572149624"/>
      <w:bookmarkStart w:id="328" w:name="_Toc19659"/>
      <w:bookmarkStart w:id="329" w:name="_Toc26178"/>
      <w:bookmarkStart w:id="330" w:name="_Toc110431102"/>
      <w:bookmarkStart w:id="331" w:name="_Toc1818651733"/>
      <w:bookmarkStart w:id="332" w:name="_Toc545275448"/>
      <w:bookmarkStart w:id="333" w:name="_Toc1678510134"/>
      <w:bookmarkStart w:id="334" w:name="_Toc2075558449"/>
      <w:bookmarkStart w:id="335" w:name="_Toc18112"/>
      <w:r>
        <w:rPr>
          <w:rFonts w:hint="eastAsia" w:ascii="仿宋_GB2312" w:hAnsi="仿宋_GB2312" w:cs="仿宋_GB2312"/>
          <w:bCs w:val="0"/>
          <w:szCs w:val="22"/>
        </w:rPr>
        <w:t>10</w:t>
      </w:r>
      <w:r>
        <w:rPr>
          <w:rFonts w:hint="eastAsia" w:ascii="仿宋_GB2312" w:hAnsi="仿宋_GB2312" w:cs="仿宋_GB2312"/>
          <w:szCs w:val="22"/>
        </w:rPr>
        <w:t>.《非公开发行公司债券项目承接负面清单指引》（</w:t>
      </w:r>
      <w:r>
        <w:rPr>
          <w:rFonts w:ascii="仿宋_GB2312" w:hAnsi="仿宋_GB2312" w:cs="仿宋_GB2312"/>
          <w:szCs w:val="22"/>
        </w:rPr>
        <w:t>2015</w:t>
      </w:r>
      <w:r>
        <w:rPr>
          <w:rFonts w:hint="eastAsia" w:ascii="仿宋_GB2312" w:hAnsi="仿宋_GB2312" w:cs="仿宋_GB2312"/>
          <w:szCs w:val="22"/>
        </w:rPr>
        <w:t>年4月23日发布，</w:t>
      </w:r>
      <w:r>
        <w:rPr>
          <w:rFonts w:ascii="仿宋_GB2312" w:hAnsi="仿宋_GB2312" w:cs="仿宋_GB2312"/>
          <w:szCs w:val="22"/>
        </w:rPr>
        <w:t>2022</w:t>
      </w:r>
      <w:r>
        <w:rPr>
          <w:rFonts w:hint="eastAsia" w:ascii="仿宋_GB2312" w:hAnsi="仿宋_GB2312" w:cs="仿宋_GB2312"/>
          <w:szCs w:val="22"/>
        </w:rPr>
        <w:t>年12月</w:t>
      </w:r>
      <w:r>
        <w:rPr>
          <w:rFonts w:ascii="仿宋_GB2312" w:hAnsi="仿宋_GB2312" w:cs="仿宋_GB2312"/>
          <w:szCs w:val="22"/>
        </w:rPr>
        <w:t>9</w:t>
      </w:r>
      <w:r>
        <w:rPr>
          <w:rFonts w:hint="eastAsia" w:ascii="仿宋_GB2312" w:hAnsi="仿宋_GB2312" w:cs="仿宋_GB2312"/>
          <w:szCs w:val="22"/>
        </w:rPr>
        <w:t>日最新修订并施行）</w:t>
      </w:r>
      <w:bookmarkEnd w:id="327"/>
      <w:bookmarkEnd w:id="328"/>
      <w:bookmarkEnd w:id="329"/>
      <w:bookmarkEnd w:id="330"/>
      <w:bookmarkEnd w:id="331"/>
      <w:bookmarkEnd w:id="332"/>
      <w:bookmarkEnd w:id="333"/>
      <w:bookmarkEnd w:id="334"/>
      <w:bookmarkEnd w:id="335"/>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熟悉非公开发行公司债券项目承接负面清单的范围；熟悉因子公司原因导致发行人列入负面清单的情形。</w:t>
      </w:r>
    </w:p>
    <w:p>
      <w:pPr>
        <w:pStyle w:val="4"/>
        <w:ind w:firstLine="602"/>
        <w:rPr>
          <w:rFonts w:ascii="仿宋_GB2312" w:hAnsi="仿宋_GB2312" w:cs="仿宋_GB2312"/>
          <w:bCs w:val="0"/>
          <w:szCs w:val="22"/>
        </w:rPr>
      </w:pPr>
      <w:bookmarkStart w:id="336" w:name="_Toc110431103"/>
      <w:bookmarkStart w:id="337" w:name="_Toc15624"/>
      <w:bookmarkStart w:id="338" w:name="_Toc31388"/>
      <w:bookmarkStart w:id="339" w:name="_Toc4284"/>
      <w:bookmarkStart w:id="340" w:name="_Toc68282771"/>
      <w:bookmarkStart w:id="341" w:name="_Toc505197563"/>
      <w:bookmarkStart w:id="342" w:name="_Toc39699298"/>
      <w:bookmarkStart w:id="343" w:name="_Toc934786432"/>
      <w:bookmarkStart w:id="344" w:name="_Toc517388231"/>
      <w:r>
        <w:rPr>
          <w:rFonts w:hint="eastAsia" w:ascii="仿宋_GB2312" w:hAnsi="仿宋_GB2312" w:cs="仿宋_GB2312"/>
          <w:bCs w:val="0"/>
          <w:szCs w:val="22"/>
        </w:rPr>
        <w:t>11</w:t>
      </w:r>
      <w:r>
        <w:rPr>
          <w:rFonts w:hint="eastAsia" w:ascii="仿宋_GB2312" w:hAnsi="仿宋_GB2312" w:cs="仿宋_GB2312"/>
          <w:szCs w:val="22"/>
        </w:rPr>
        <w:t>.</w:t>
      </w:r>
      <w:bookmarkEnd w:id="336"/>
      <w:bookmarkEnd w:id="337"/>
      <w:bookmarkEnd w:id="338"/>
      <w:bookmarkEnd w:id="339"/>
      <w:r>
        <w:rPr>
          <w:rFonts w:hint="eastAsia" w:ascii="仿宋_GB2312" w:hAnsi="仿宋_GB2312" w:cs="仿宋_GB2312"/>
          <w:bCs w:val="0"/>
          <w:szCs w:val="22"/>
        </w:rPr>
        <w:t>《上海证券交易所债券自律监管规则适用指引第4号——公司债券和资产支持证券信用风险管理》（2023年10月20日发布并施行）、《深圳证券交易所公司债券存续期监管业务指引第3号——信用风险管理》（2023年10月20日发布并施行）和《北京证券交易所公司债券存续期监管业务指引第3号——信用风险管理》（2023年10月20日发布并施行）</w:t>
      </w:r>
      <w:bookmarkEnd w:id="340"/>
      <w:bookmarkEnd w:id="341"/>
      <w:bookmarkEnd w:id="342"/>
      <w:bookmarkEnd w:id="343"/>
      <w:bookmarkEnd w:id="344"/>
    </w:p>
    <w:p>
      <w:pPr>
        <w:pStyle w:val="9"/>
        <w:ind w:firstLine="600"/>
        <w:rPr>
          <w:rFonts w:ascii="Times New Roman" w:hAnsi="Calibri" w:eastAsia="仿宋_GB2312"/>
          <w:color w:val="000000"/>
          <w:kern w:val="2"/>
          <w:szCs w:val="30"/>
        </w:rPr>
      </w:pPr>
      <w:r>
        <w:rPr>
          <w:rFonts w:hint="eastAsia" w:ascii="Times New Roman" w:hAnsi="Calibri" w:eastAsia="仿宋_GB2312"/>
          <w:color w:val="000000"/>
          <w:kern w:val="2"/>
          <w:szCs w:val="30"/>
        </w:rPr>
        <w:t>熟悉负有风险管理责任的机构及其职责；掌握资信评级机构的信用风险管理职责；掌握信用风险分类的规定；熟悉信用风险管理报告的相关规定；了解信用风险化解处置措施；了解信用风险管理工具的相关要求。</w:t>
      </w:r>
      <w:bookmarkStart w:id="345" w:name="_Toc13661"/>
      <w:bookmarkStart w:id="346" w:name="_Toc17531"/>
      <w:bookmarkStart w:id="347" w:name="_Toc110431104"/>
      <w:bookmarkStart w:id="348" w:name="_Toc25325"/>
      <w:bookmarkStart w:id="349" w:name="_Toc1611579152"/>
      <w:bookmarkStart w:id="350" w:name="_Toc1471161651"/>
      <w:bookmarkStart w:id="351" w:name="_Toc1803427623"/>
      <w:bookmarkStart w:id="352" w:name="_Toc126884570"/>
      <w:bookmarkStart w:id="353" w:name="_Toc140962445"/>
    </w:p>
    <w:p>
      <w:pPr>
        <w:pStyle w:val="4"/>
        <w:ind w:firstLine="602"/>
        <w:rPr>
          <w:rFonts w:ascii="仿宋_GB2312" w:hAnsi="仿宋_GB2312" w:cs="仿宋_GB2312"/>
          <w:szCs w:val="22"/>
        </w:rPr>
      </w:pPr>
      <w:r>
        <w:rPr>
          <w:rFonts w:hint="eastAsia" w:ascii="仿宋_GB2312" w:hAnsi="仿宋_GB2312" w:cs="仿宋_GB2312"/>
          <w:bCs w:val="0"/>
          <w:szCs w:val="22"/>
        </w:rPr>
        <w:t>12</w:t>
      </w:r>
      <w:r>
        <w:rPr>
          <w:rFonts w:hint="eastAsia" w:ascii="仿宋_GB2312" w:hAnsi="仿宋_GB2312" w:cs="仿宋_GB2312"/>
          <w:szCs w:val="22"/>
        </w:rPr>
        <w:t>.《公司债券受托管理人处置公司债券违约风险指引》（2017年3月17日发布，</w:t>
      </w:r>
      <w:bookmarkEnd w:id="345"/>
      <w:bookmarkEnd w:id="346"/>
      <w:bookmarkEnd w:id="347"/>
      <w:bookmarkEnd w:id="348"/>
      <w:r>
        <w:rPr>
          <w:rFonts w:hint="eastAsia" w:ascii="仿宋_GB2312" w:hAnsi="仿宋_GB2312" w:cs="仿宋_GB2312"/>
          <w:szCs w:val="22"/>
        </w:rPr>
        <w:t>2023年10月20日最新修订并施行）</w:t>
      </w:r>
      <w:bookmarkEnd w:id="349"/>
      <w:bookmarkEnd w:id="350"/>
      <w:bookmarkEnd w:id="351"/>
      <w:bookmarkEnd w:id="352"/>
      <w:bookmarkEnd w:id="353"/>
    </w:p>
    <w:p>
      <w:pPr>
        <w:pStyle w:val="3"/>
        <w:ind w:firstLine="600"/>
        <w:rPr>
          <w:rFonts w:ascii="Times New Roman" w:hAnsi="Calibri"/>
          <w:b w:val="0"/>
          <w:bCs w:val="0"/>
          <w:color w:val="000000"/>
          <w:kern w:val="2"/>
          <w:szCs w:val="30"/>
        </w:rPr>
      </w:pPr>
      <w:r>
        <w:rPr>
          <w:rFonts w:hint="eastAsia" w:ascii="Times New Roman" w:hAnsi="Calibri"/>
          <w:b w:val="0"/>
          <w:bCs w:val="0"/>
          <w:color w:val="000000"/>
          <w:kern w:val="2"/>
          <w:szCs w:val="30"/>
        </w:rPr>
        <w:t>熟悉公司债券违约风险的处置要求；熟悉公司债券违约的处置机制。</w:t>
      </w:r>
      <w:bookmarkStart w:id="354" w:name="_Toc1106156836"/>
      <w:bookmarkStart w:id="355" w:name="_Toc943775210"/>
      <w:bookmarkStart w:id="356" w:name="_Toc1205253587"/>
      <w:bookmarkStart w:id="357" w:name="_Toc1383008415"/>
      <w:bookmarkStart w:id="358" w:name="_Toc110431105"/>
      <w:bookmarkStart w:id="359" w:name="_Toc257078729"/>
      <w:bookmarkStart w:id="360" w:name="_Toc19435"/>
      <w:bookmarkStart w:id="361" w:name="_Toc29908"/>
      <w:bookmarkStart w:id="362" w:name="_Toc13454"/>
    </w:p>
    <w:p>
      <w:pPr>
        <w:pStyle w:val="3"/>
        <w:ind w:firstLine="602"/>
        <w:rPr>
          <w:rFonts w:ascii="宋体" w:hAnsi="宋体"/>
          <w:szCs w:val="36"/>
        </w:rPr>
      </w:pPr>
      <w:r>
        <w:rPr>
          <w:rFonts w:hint="eastAsia" w:ascii="宋体" w:hAnsi="宋体"/>
          <w:szCs w:val="36"/>
        </w:rPr>
        <w:t>（三）特种债券</w:t>
      </w:r>
      <w:bookmarkEnd w:id="354"/>
      <w:bookmarkEnd w:id="355"/>
      <w:bookmarkEnd w:id="356"/>
      <w:bookmarkEnd w:id="357"/>
      <w:bookmarkEnd w:id="358"/>
      <w:bookmarkEnd w:id="359"/>
      <w:bookmarkEnd w:id="360"/>
      <w:bookmarkEnd w:id="361"/>
      <w:bookmarkEnd w:id="362"/>
    </w:p>
    <w:p>
      <w:pPr>
        <w:pStyle w:val="4"/>
        <w:ind w:firstLine="578" w:firstLineChars="192"/>
        <w:rPr>
          <w:rFonts w:ascii="仿宋_GB2312" w:hAnsi="仿宋_GB2312" w:cs="仿宋_GB2312"/>
          <w:szCs w:val="22"/>
        </w:rPr>
      </w:pPr>
      <w:bookmarkStart w:id="363" w:name="_Toc110431108"/>
      <w:bookmarkStart w:id="364" w:name="_Toc21450"/>
      <w:bookmarkStart w:id="365" w:name="_Toc5729"/>
      <w:bookmarkStart w:id="366" w:name="_Toc28641"/>
      <w:bookmarkStart w:id="367" w:name="_Toc4200457"/>
      <w:bookmarkStart w:id="368" w:name="_Toc1124684761"/>
      <w:bookmarkStart w:id="369" w:name="_Toc157549535"/>
      <w:bookmarkStart w:id="370" w:name="_Toc2106249914"/>
      <w:bookmarkStart w:id="371" w:name="_Toc1292821666"/>
      <w:r>
        <w:rPr>
          <w:rFonts w:hint="eastAsia" w:ascii="仿宋_GB2312" w:hAnsi="仿宋_GB2312" w:cs="仿宋_GB2312"/>
          <w:szCs w:val="22"/>
        </w:rPr>
        <w:t>1</w:t>
      </w:r>
      <w:r>
        <w:rPr>
          <w:rFonts w:ascii="仿宋_GB2312" w:hAnsi="仿宋_GB2312" w:cs="仿宋_GB2312"/>
          <w:szCs w:val="22"/>
        </w:rPr>
        <w:t>.</w:t>
      </w:r>
      <w:bookmarkEnd w:id="363"/>
      <w:bookmarkEnd w:id="364"/>
      <w:bookmarkEnd w:id="365"/>
      <w:bookmarkEnd w:id="366"/>
      <w:r>
        <w:rPr>
          <w:rFonts w:hint="eastAsia" w:ascii="仿宋_GB2312" w:hAnsi="仿宋_GB2312" w:cs="仿宋_GB2312"/>
          <w:szCs w:val="22"/>
        </w:rPr>
        <w:t>《上海证券交易所公司债券发行上市审核规则适用指引第2号——专项品种公司债券》（2023年10月20日发布并施行）、《深圳证券交易所公司债券发行上市审核业务指引第7号——专项品种公司债券》（2023年10月20日发布并施行）及《北京证券交易所公司债券发行上市审核规则适用指引第2号——专项品种公司债券》（2023年10月20日发布并施行）</w:t>
      </w:r>
      <w:bookmarkEnd w:id="367"/>
      <w:bookmarkEnd w:id="368"/>
      <w:bookmarkEnd w:id="369"/>
      <w:bookmarkEnd w:id="370"/>
      <w:bookmarkEnd w:id="371"/>
    </w:p>
    <w:p>
      <w:pPr>
        <w:ind w:firstLine="600" w:firstLineChars="200"/>
      </w:pPr>
      <w:r>
        <w:rPr>
          <w:rFonts w:hint="eastAsia" w:ascii="Times New Roman" w:eastAsia="仿宋_GB2312"/>
          <w:color w:val="000000"/>
          <w:sz w:val="30"/>
          <w:szCs w:val="30"/>
        </w:rPr>
        <w:t>熟悉短期公司债券的定义、募集资金用途要求及发行此类债券应符合的情形；熟悉可续期公司债券的定义、利息支付方式及利率调整机制；了解可续期公司债券存续期间的信息披露及风险管理要求；熟悉可交换公司债券的定义及发行可交换公司债应符合的要求；了解可交换公司债券存续期间的信息披露要求；熟悉绿色公司债券的定义及募集资金用途要求；熟悉碳中和项目包括的类别；熟悉低碳转型公司债券的定义及募集资金用途要求；熟悉科技创新公司债券的定义及发行科技创新公司债券应符合的要求；熟悉科技创新公司债券的募集资金用途要求及信息披露要求；熟悉乡村振兴公司债券的定义和发行乡村振兴公司债券应符合的要求；熟悉“一带一路”公司债券的定义及募集资金用途的要求；熟悉纾困公司债券的定义和发行纾困公司债券应符合的要求；熟悉中小微企业支持债券的定义及募集资金用途的要求。</w:t>
      </w:r>
    </w:p>
    <w:p>
      <w:pPr>
        <w:pStyle w:val="3"/>
        <w:ind w:firstLine="602"/>
        <w:rPr>
          <w:rFonts w:ascii="宋体" w:hAnsi="宋体"/>
          <w:szCs w:val="36"/>
        </w:rPr>
      </w:pPr>
      <w:bookmarkStart w:id="372" w:name="_Toc1283814823"/>
      <w:bookmarkStart w:id="373" w:name="_Toc31311"/>
      <w:bookmarkStart w:id="374" w:name="_Toc110431112"/>
      <w:bookmarkStart w:id="375" w:name="_Toc968538444"/>
      <w:bookmarkStart w:id="376" w:name="_Toc32117"/>
      <w:bookmarkStart w:id="377" w:name="_Toc714910635"/>
      <w:bookmarkStart w:id="378" w:name="_Toc32450"/>
      <w:bookmarkStart w:id="379" w:name="_Toc1808345705"/>
      <w:bookmarkStart w:id="380" w:name="_Toc219016279"/>
      <w:r>
        <w:rPr>
          <w:rFonts w:hint="eastAsia" w:ascii="宋体" w:hAnsi="宋体"/>
          <w:szCs w:val="36"/>
        </w:rPr>
        <w:t>（四）资产证券化</w:t>
      </w:r>
      <w:bookmarkEnd w:id="372"/>
      <w:bookmarkEnd w:id="373"/>
      <w:bookmarkEnd w:id="374"/>
      <w:bookmarkEnd w:id="375"/>
      <w:bookmarkEnd w:id="376"/>
      <w:bookmarkEnd w:id="377"/>
      <w:bookmarkEnd w:id="378"/>
      <w:bookmarkEnd w:id="379"/>
      <w:bookmarkEnd w:id="380"/>
    </w:p>
    <w:p>
      <w:pPr>
        <w:pStyle w:val="4"/>
        <w:ind w:firstLine="602"/>
        <w:rPr>
          <w:rFonts w:ascii="仿宋_GB2312" w:hAnsi="仿宋_GB2312" w:cs="仿宋_GB2312"/>
          <w:bCs w:val="0"/>
          <w:szCs w:val="22"/>
        </w:rPr>
      </w:pPr>
      <w:bookmarkStart w:id="381" w:name="_Toc1789911117"/>
      <w:bookmarkStart w:id="382" w:name="_Toc22523"/>
      <w:bookmarkStart w:id="383" w:name="_Toc118315176"/>
      <w:bookmarkStart w:id="384" w:name="_Toc1784153531"/>
      <w:bookmarkStart w:id="385" w:name="_Toc25985"/>
      <w:bookmarkStart w:id="386" w:name="_Toc31618"/>
      <w:bookmarkStart w:id="387" w:name="_Toc110431113"/>
      <w:bookmarkStart w:id="388" w:name="_Toc1922924217"/>
      <w:bookmarkStart w:id="389" w:name="_Toc52609220"/>
      <w:r>
        <w:rPr>
          <w:rFonts w:hint="eastAsia" w:ascii="仿宋_GB2312" w:hAnsi="仿宋_GB2312" w:cs="仿宋_GB2312"/>
          <w:bCs w:val="0"/>
          <w:szCs w:val="22"/>
        </w:rPr>
        <w:t>1.《</w:t>
      </w:r>
      <w:bookmarkStart w:id="390" w:name="OLE_LINK3"/>
      <w:bookmarkStart w:id="391" w:name="OLE_LINK4"/>
      <w:r>
        <w:rPr>
          <w:rFonts w:hint="eastAsia" w:ascii="仿宋_GB2312" w:hAnsi="仿宋_GB2312" w:cs="仿宋_GB2312"/>
          <w:bCs w:val="0"/>
          <w:szCs w:val="22"/>
        </w:rPr>
        <w:t>证券公司及基金管理公司子公司资产证券化业务管理规定</w:t>
      </w:r>
      <w:bookmarkEnd w:id="390"/>
      <w:bookmarkEnd w:id="391"/>
      <w:r>
        <w:rPr>
          <w:rFonts w:hint="eastAsia" w:ascii="仿宋_GB2312" w:hAnsi="仿宋_GB2312" w:cs="仿宋_GB2312"/>
          <w:bCs w:val="0"/>
          <w:szCs w:val="22"/>
        </w:rPr>
        <w:t>》及配套规则《证券公司及基金管理公司子公司资产证券化业务信息披露指引》《证券公司及基金管理公司子公司资产证券化业务尽职调查工作指引》（2014年11月19日公布并施行）</w:t>
      </w:r>
      <w:bookmarkEnd w:id="381"/>
      <w:bookmarkEnd w:id="382"/>
      <w:bookmarkEnd w:id="383"/>
      <w:bookmarkEnd w:id="384"/>
      <w:bookmarkEnd w:id="385"/>
      <w:bookmarkEnd w:id="386"/>
      <w:bookmarkEnd w:id="387"/>
      <w:bookmarkEnd w:id="388"/>
      <w:bookmarkEnd w:id="389"/>
    </w:p>
    <w:p>
      <w:pPr>
        <w:ind w:firstLine="600" w:firstLineChars="200"/>
        <w:rPr>
          <w:rFonts w:ascii="Times New Roman" w:eastAsia="仿宋_GB2312"/>
          <w:color w:val="000000"/>
          <w:sz w:val="30"/>
          <w:szCs w:val="30"/>
        </w:rPr>
      </w:pPr>
      <w:bookmarkStart w:id="392" w:name="_Toc110431114"/>
      <w:bookmarkStart w:id="393" w:name="_Toc23354"/>
      <w:r>
        <w:rPr>
          <w:rFonts w:ascii="Times New Roman" w:eastAsia="仿宋_GB2312"/>
          <w:color w:val="000000"/>
          <w:sz w:val="30"/>
          <w:szCs w:val="30"/>
        </w:rPr>
        <w:t>掌握证券公司</w:t>
      </w:r>
      <w:r>
        <w:rPr>
          <w:rFonts w:hint="eastAsia" w:ascii="Times New Roman" w:eastAsia="仿宋_GB2312"/>
          <w:color w:val="000000"/>
          <w:sz w:val="30"/>
          <w:szCs w:val="30"/>
        </w:rPr>
        <w:t>及基金管理公司子公司</w:t>
      </w:r>
      <w:r>
        <w:rPr>
          <w:rFonts w:ascii="Times New Roman" w:eastAsia="仿宋_GB2312"/>
          <w:color w:val="000000"/>
          <w:sz w:val="30"/>
          <w:szCs w:val="30"/>
        </w:rPr>
        <w:t>资产证券化业务的定义</w:t>
      </w:r>
      <w:r>
        <w:rPr>
          <w:rFonts w:hint="eastAsia" w:ascii="Times New Roman" w:eastAsia="仿宋_GB2312"/>
          <w:color w:val="000000"/>
          <w:sz w:val="30"/>
          <w:szCs w:val="30"/>
        </w:rPr>
        <w:t>；</w:t>
      </w:r>
      <w:r>
        <w:rPr>
          <w:rFonts w:ascii="Times New Roman" w:eastAsia="仿宋_GB2312"/>
          <w:color w:val="000000"/>
          <w:sz w:val="30"/>
          <w:szCs w:val="30"/>
        </w:rPr>
        <w:t>熟悉证券公司</w:t>
      </w:r>
      <w:r>
        <w:rPr>
          <w:rFonts w:hint="eastAsia" w:ascii="Times New Roman" w:eastAsia="仿宋_GB2312"/>
          <w:color w:val="000000"/>
          <w:sz w:val="30"/>
          <w:szCs w:val="30"/>
        </w:rPr>
        <w:t>及基金管理公司子公司开展资产证券化业务</w:t>
      </w:r>
      <w:r>
        <w:rPr>
          <w:rFonts w:ascii="Times New Roman" w:eastAsia="仿宋_GB2312"/>
          <w:color w:val="000000"/>
          <w:sz w:val="30"/>
          <w:szCs w:val="30"/>
        </w:rPr>
        <w:t>应当具备的条件</w:t>
      </w:r>
      <w:r>
        <w:rPr>
          <w:rFonts w:hint="eastAsia" w:ascii="Times New Roman" w:eastAsia="仿宋_GB2312"/>
          <w:color w:val="000000"/>
          <w:sz w:val="30"/>
          <w:szCs w:val="30"/>
        </w:rPr>
        <w:t>；</w:t>
      </w:r>
      <w:r>
        <w:rPr>
          <w:rFonts w:ascii="Times New Roman" w:eastAsia="仿宋_GB2312"/>
          <w:color w:val="000000"/>
          <w:sz w:val="30"/>
          <w:szCs w:val="30"/>
        </w:rPr>
        <w:t>熟悉基础资产相关内容</w:t>
      </w:r>
      <w:r>
        <w:rPr>
          <w:rFonts w:hint="eastAsia" w:ascii="Times New Roman" w:eastAsia="仿宋_GB2312"/>
          <w:color w:val="000000"/>
          <w:sz w:val="30"/>
          <w:szCs w:val="30"/>
        </w:rPr>
        <w:t>；</w:t>
      </w:r>
      <w:r>
        <w:rPr>
          <w:rFonts w:ascii="Times New Roman" w:eastAsia="仿宋_GB2312"/>
          <w:color w:val="000000"/>
          <w:sz w:val="30"/>
          <w:szCs w:val="30"/>
        </w:rPr>
        <w:t>熟悉原始权益人</w:t>
      </w:r>
      <w:r>
        <w:rPr>
          <w:rFonts w:hint="eastAsia" w:ascii="Times New Roman" w:eastAsia="仿宋_GB2312"/>
          <w:color w:val="000000"/>
          <w:sz w:val="30"/>
          <w:szCs w:val="30"/>
        </w:rPr>
        <w:t>、</w:t>
      </w:r>
      <w:r>
        <w:rPr>
          <w:rFonts w:ascii="Times New Roman" w:eastAsia="仿宋_GB2312"/>
          <w:color w:val="000000"/>
          <w:sz w:val="30"/>
          <w:szCs w:val="30"/>
        </w:rPr>
        <w:t>管理人及托管人的职责及义务</w:t>
      </w:r>
      <w:r>
        <w:rPr>
          <w:rFonts w:hint="eastAsia" w:ascii="Times New Roman" w:eastAsia="仿宋_GB2312"/>
          <w:color w:val="000000"/>
          <w:sz w:val="30"/>
          <w:szCs w:val="30"/>
        </w:rPr>
        <w:t>；</w:t>
      </w:r>
      <w:r>
        <w:rPr>
          <w:rFonts w:ascii="Times New Roman" w:eastAsia="仿宋_GB2312"/>
          <w:color w:val="000000"/>
          <w:sz w:val="30"/>
          <w:szCs w:val="30"/>
        </w:rPr>
        <w:t>熟悉特定原始权益人应当符合的条件</w:t>
      </w:r>
      <w:bookmarkStart w:id="394" w:name="OLE_LINK2"/>
      <w:bookmarkStart w:id="395" w:name="OLE_LINK1"/>
      <w:r>
        <w:rPr>
          <w:rFonts w:hint="eastAsia" w:ascii="Times New Roman" w:eastAsia="仿宋_GB2312"/>
          <w:color w:val="000000"/>
          <w:sz w:val="30"/>
          <w:szCs w:val="30"/>
        </w:rPr>
        <w:t>；</w:t>
      </w:r>
      <w:r>
        <w:rPr>
          <w:rFonts w:ascii="Times New Roman" w:eastAsia="仿宋_GB2312"/>
          <w:color w:val="000000"/>
          <w:sz w:val="30"/>
          <w:szCs w:val="30"/>
        </w:rPr>
        <w:t>了解资产支持证券投资者享有的权利</w:t>
      </w:r>
      <w:bookmarkEnd w:id="394"/>
      <w:bookmarkEnd w:id="395"/>
      <w:r>
        <w:rPr>
          <w:rFonts w:hint="eastAsia" w:ascii="Times New Roman" w:eastAsia="仿宋_GB2312"/>
          <w:color w:val="000000"/>
          <w:sz w:val="30"/>
          <w:szCs w:val="30"/>
        </w:rPr>
        <w:t>；</w:t>
      </w:r>
      <w:r>
        <w:rPr>
          <w:rFonts w:ascii="Times New Roman" w:eastAsia="仿宋_GB2312"/>
          <w:color w:val="000000"/>
          <w:sz w:val="30"/>
          <w:szCs w:val="30"/>
        </w:rPr>
        <w:t>熟悉资产证券化业务的信息披露；熟悉资产证券化业务的</w:t>
      </w:r>
      <w:r>
        <w:rPr>
          <w:rFonts w:hint="eastAsia" w:ascii="Times New Roman" w:eastAsia="仿宋_GB2312"/>
          <w:color w:val="000000"/>
          <w:sz w:val="30"/>
          <w:szCs w:val="30"/>
        </w:rPr>
        <w:t>尽职调查要求</w:t>
      </w:r>
      <w:r>
        <w:rPr>
          <w:rFonts w:ascii="Times New Roman" w:eastAsia="仿宋_GB2312"/>
          <w:color w:val="000000"/>
          <w:sz w:val="30"/>
          <w:szCs w:val="30"/>
        </w:rPr>
        <w:t>；掌握资产证券化业务的监督管理。</w:t>
      </w:r>
      <w:bookmarkEnd w:id="392"/>
      <w:bookmarkEnd w:id="393"/>
    </w:p>
    <w:p>
      <w:pPr>
        <w:pStyle w:val="4"/>
        <w:ind w:firstLine="602"/>
        <w:rPr>
          <w:rFonts w:ascii="仿宋_GB2312" w:hAnsi="仿宋_GB2312" w:cs="仿宋_GB2312"/>
          <w:bCs w:val="0"/>
          <w:szCs w:val="22"/>
        </w:rPr>
      </w:pPr>
      <w:bookmarkStart w:id="396" w:name="_Toc694408336"/>
      <w:bookmarkStart w:id="397" w:name="_Toc19636"/>
      <w:bookmarkStart w:id="398" w:name="_Toc1901086060"/>
      <w:bookmarkStart w:id="399" w:name="_Toc2927"/>
      <w:bookmarkStart w:id="400" w:name="_Toc19491"/>
      <w:bookmarkStart w:id="401" w:name="_Toc902169159"/>
      <w:bookmarkStart w:id="402" w:name="_Toc609780747"/>
      <w:bookmarkStart w:id="403" w:name="_Toc110431115"/>
      <w:bookmarkStart w:id="404" w:name="_Toc309120439"/>
      <w:r>
        <w:rPr>
          <w:rFonts w:hint="eastAsia" w:ascii="仿宋_GB2312" w:hAnsi="仿宋_GB2312" w:cs="仿宋_GB2312"/>
          <w:bCs w:val="0"/>
          <w:szCs w:val="22"/>
        </w:rPr>
        <w:t>2.</w:t>
      </w:r>
      <w:r>
        <w:rPr>
          <w:rFonts w:ascii="仿宋_GB2312" w:hAnsi="仿宋_GB2312" w:cs="仿宋_GB2312"/>
          <w:bCs w:val="0"/>
          <w:szCs w:val="22"/>
        </w:rPr>
        <w:t>《</w:t>
      </w:r>
      <w:r>
        <w:rPr>
          <w:rFonts w:hint="eastAsia" w:ascii="仿宋_GB2312" w:hAnsi="仿宋_GB2312" w:cs="仿宋_GB2312"/>
          <w:bCs w:val="0"/>
          <w:szCs w:val="22"/>
        </w:rPr>
        <w:t>上海证券交易所基础设施类资产支持证券信息披露指南》和《深圳证券交易所基础设施类资产支持证券信息披露指南》（</w:t>
      </w:r>
      <w:r>
        <w:rPr>
          <w:rFonts w:ascii="仿宋_GB2312" w:hAnsi="仿宋_GB2312" w:cs="仿宋_GB2312"/>
          <w:bCs w:val="0"/>
          <w:szCs w:val="22"/>
        </w:rPr>
        <w:t>2018年6月8日发布并施行</w:t>
      </w:r>
      <w:r>
        <w:rPr>
          <w:rFonts w:hint="eastAsia" w:ascii="仿宋_GB2312" w:hAnsi="仿宋_GB2312" w:cs="仿宋_GB2312"/>
          <w:bCs w:val="0"/>
          <w:szCs w:val="22"/>
        </w:rPr>
        <w:t>）</w:t>
      </w:r>
      <w:bookmarkEnd w:id="396"/>
      <w:bookmarkEnd w:id="397"/>
      <w:bookmarkEnd w:id="398"/>
      <w:bookmarkEnd w:id="399"/>
      <w:bookmarkEnd w:id="400"/>
      <w:bookmarkEnd w:id="401"/>
      <w:bookmarkEnd w:id="402"/>
      <w:bookmarkEnd w:id="403"/>
      <w:bookmarkEnd w:id="404"/>
    </w:p>
    <w:p>
      <w:pPr>
        <w:ind w:firstLine="600" w:firstLineChars="200"/>
      </w:pPr>
      <w:r>
        <w:rPr>
          <w:rFonts w:hint="eastAsia" w:ascii="Times New Roman" w:eastAsia="仿宋_GB2312"/>
          <w:color w:val="000000"/>
          <w:sz w:val="30"/>
          <w:szCs w:val="30"/>
        </w:rPr>
        <w:t>了解基础设施类资产支持证券的定义；了解基础设施类资产支持证券信息披露义务人的范围；了解基础设施类资产支持证券发行环节和存续期间信息披露的相关规定；</w:t>
      </w:r>
      <w:r>
        <w:rPr>
          <w:rFonts w:ascii="Times New Roman" w:eastAsia="仿宋_GB2312"/>
          <w:color w:val="000000"/>
          <w:sz w:val="30"/>
          <w:szCs w:val="30"/>
        </w:rPr>
        <w:t>掌握</w:t>
      </w:r>
      <w:r>
        <w:rPr>
          <w:rFonts w:hint="eastAsia" w:ascii="Times New Roman" w:eastAsia="仿宋_GB2312"/>
          <w:color w:val="000000"/>
          <w:sz w:val="30"/>
          <w:szCs w:val="30"/>
        </w:rPr>
        <w:t>基础设施类资产支持证券信用评级报告的内容要求。</w:t>
      </w:r>
    </w:p>
    <w:p>
      <w:pPr>
        <w:pStyle w:val="2"/>
        <w:keepLines w:val="0"/>
        <w:spacing w:beforeLines="100" w:afterLines="100" w:line="240" w:lineRule="auto"/>
        <w:ind w:firstLine="600" w:firstLineChars="200"/>
        <w:jc w:val="center"/>
        <w:rPr>
          <w:rFonts w:ascii="Courier New" w:hAnsi="Courier New" w:eastAsia="华文中宋"/>
          <w:b w:val="0"/>
          <w:kern w:val="2"/>
          <w:sz w:val="30"/>
          <w:szCs w:val="32"/>
          <w:lang w:val="zh-CN"/>
        </w:rPr>
      </w:pPr>
      <w:bookmarkStart w:id="405" w:name="_Toc110431117"/>
      <w:bookmarkStart w:id="406" w:name="_Toc29280"/>
      <w:bookmarkStart w:id="407" w:name="_Toc30322"/>
      <w:bookmarkStart w:id="408" w:name="_Toc1914025554"/>
      <w:bookmarkStart w:id="409" w:name="_Toc1900426831"/>
      <w:bookmarkStart w:id="410" w:name="_Toc373451214"/>
      <w:bookmarkStart w:id="411" w:name="_Toc27582"/>
      <w:bookmarkStart w:id="412" w:name="_Toc2092957787"/>
      <w:bookmarkStart w:id="413" w:name="_Toc822852347"/>
      <w:r>
        <w:rPr>
          <w:rFonts w:hint="eastAsia" w:ascii="Courier New" w:hAnsi="Courier New" w:eastAsia="华文中宋"/>
          <w:bCs w:val="0"/>
          <w:kern w:val="2"/>
          <w:sz w:val="30"/>
          <w:szCs w:val="32"/>
          <w:lang w:val="zh-CN"/>
        </w:rPr>
        <w:t>第三部分</w:t>
      </w:r>
      <w:r>
        <w:rPr>
          <w:rFonts w:hint="eastAsia" w:ascii="Courier New" w:hAnsi="Courier New" w:eastAsia="华文中宋"/>
          <w:bCs w:val="0"/>
          <w:kern w:val="2"/>
          <w:sz w:val="30"/>
          <w:szCs w:val="32"/>
          <w:lang w:val="en-US" w:eastAsia="zh-CN"/>
        </w:rPr>
        <w:t xml:space="preserve"> </w:t>
      </w:r>
      <w:r>
        <w:rPr>
          <w:rFonts w:hint="eastAsia" w:ascii="Courier New" w:hAnsi="Courier New" w:eastAsia="华文中宋"/>
          <w:bCs w:val="0"/>
          <w:kern w:val="2"/>
          <w:sz w:val="30"/>
          <w:szCs w:val="32"/>
          <w:lang w:val="zh-CN"/>
        </w:rPr>
        <w:t>银行间债券市场</w:t>
      </w:r>
      <w:bookmarkEnd w:id="405"/>
      <w:bookmarkEnd w:id="406"/>
      <w:bookmarkEnd w:id="407"/>
      <w:bookmarkEnd w:id="408"/>
      <w:bookmarkEnd w:id="409"/>
      <w:bookmarkEnd w:id="410"/>
      <w:bookmarkEnd w:id="411"/>
      <w:bookmarkEnd w:id="412"/>
      <w:bookmarkEnd w:id="413"/>
    </w:p>
    <w:p>
      <w:pPr>
        <w:pStyle w:val="3"/>
        <w:ind w:firstLine="602"/>
        <w:rPr>
          <w:rFonts w:ascii="宋体" w:hAnsi="宋体"/>
          <w:szCs w:val="36"/>
        </w:rPr>
      </w:pPr>
      <w:bookmarkStart w:id="414" w:name="_Toc1491968518"/>
      <w:bookmarkStart w:id="415" w:name="_Toc2095896097"/>
      <w:bookmarkStart w:id="416" w:name="_Toc110431118"/>
      <w:bookmarkStart w:id="417" w:name="_Toc224305629"/>
      <w:bookmarkStart w:id="418" w:name="_Toc4198"/>
      <w:bookmarkStart w:id="419" w:name="_Toc1590567603"/>
      <w:bookmarkStart w:id="420" w:name="_Toc30833"/>
      <w:bookmarkStart w:id="421" w:name="_Toc3005"/>
      <w:bookmarkStart w:id="422" w:name="_Toc1251417343"/>
      <w:r>
        <w:rPr>
          <w:rFonts w:hint="eastAsia" w:ascii="宋体" w:hAnsi="宋体"/>
          <w:szCs w:val="36"/>
        </w:rPr>
        <w:t>（一）评级业务管理</w:t>
      </w:r>
      <w:bookmarkEnd w:id="414"/>
      <w:bookmarkEnd w:id="415"/>
      <w:bookmarkEnd w:id="416"/>
      <w:bookmarkEnd w:id="417"/>
      <w:bookmarkEnd w:id="418"/>
      <w:bookmarkEnd w:id="419"/>
      <w:bookmarkEnd w:id="420"/>
      <w:bookmarkEnd w:id="421"/>
      <w:bookmarkEnd w:id="422"/>
    </w:p>
    <w:p>
      <w:pPr>
        <w:pStyle w:val="4"/>
        <w:ind w:firstLine="602"/>
        <w:rPr>
          <w:rFonts w:ascii="仿宋_GB2312" w:hAnsi="仿宋_GB2312" w:cs="仿宋_GB2312"/>
          <w:bCs w:val="0"/>
          <w:szCs w:val="22"/>
        </w:rPr>
      </w:pPr>
      <w:bookmarkStart w:id="423" w:name="_Toc2047924482"/>
      <w:bookmarkStart w:id="424" w:name="_Toc3082"/>
      <w:bookmarkStart w:id="425" w:name="_Toc16233"/>
      <w:bookmarkStart w:id="426" w:name="_Toc378577106"/>
      <w:bookmarkStart w:id="427" w:name="_Toc12587"/>
      <w:bookmarkStart w:id="428" w:name="_Toc1986814762"/>
      <w:bookmarkStart w:id="429" w:name="_Toc110431119"/>
      <w:bookmarkStart w:id="430" w:name="_Toc369550139"/>
      <w:bookmarkStart w:id="431" w:name="_Toc1520617026"/>
      <w:r>
        <w:rPr>
          <w:rFonts w:hint="eastAsia" w:ascii="仿宋_GB2312" w:hAnsi="仿宋_GB2312" w:cs="仿宋_GB2312"/>
          <w:bCs w:val="0"/>
          <w:szCs w:val="22"/>
        </w:rPr>
        <w:t>1.《信贷市场和银行间债券市场信用评级规范》（</w:t>
      </w:r>
      <w:r>
        <w:rPr>
          <w:rFonts w:ascii="仿宋_GB2312" w:hAnsi="仿宋_GB2312" w:cs="仿宋_GB2312"/>
          <w:szCs w:val="22"/>
        </w:rPr>
        <w:t>2006年11月21日公布，2015年5月29日</w:t>
      </w:r>
      <w:r>
        <w:rPr>
          <w:rFonts w:hint="eastAsia" w:ascii="仿宋_GB2312" w:hAnsi="仿宋_GB2312" w:cs="仿宋_GB2312"/>
          <w:bCs w:val="0"/>
          <w:szCs w:val="22"/>
        </w:rPr>
        <w:t>最新修订</w:t>
      </w:r>
      <w:r>
        <w:rPr>
          <w:rFonts w:hint="eastAsia" w:ascii="仿宋_GB2312" w:hAnsi="仿宋_GB2312" w:cs="仿宋_GB2312"/>
          <w:szCs w:val="22"/>
        </w:rPr>
        <w:t>并施行</w:t>
      </w:r>
      <w:r>
        <w:rPr>
          <w:rFonts w:hint="eastAsia" w:ascii="仿宋_GB2312" w:hAnsi="仿宋_GB2312" w:cs="仿宋_GB2312"/>
          <w:bCs w:val="0"/>
          <w:szCs w:val="22"/>
        </w:rPr>
        <w:t>）</w:t>
      </w:r>
      <w:bookmarkEnd w:id="423"/>
      <w:bookmarkEnd w:id="424"/>
      <w:bookmarkEnd w:id="425"/>
      <w:bookmarkEnd w:id="426"/>
      <w:bookmarkEnd w:id="427"/>
      <w:bookmarkEnd w:id="428"/>
      <w:bookmarkEnd w:id="429"/>
      <w:bookmarkEnd w:id="430"/>
      <w:bookmarkEnd w:id="431"/>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（1）信用评级主体规范</w:t>
      </w:r>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规范》的适用范围；掌握信用、信用评级、信用等级、评级对象等术语及其定义；熟悉信贷市场和银行间债券市场信用评级业务的进入和退出程序；熟悉关于信贷市场和银行间债券市场信用评级机构执业要求的规定；熟悉关于信用评级机构应建立评级业务质量控制、内部管理等相关制度的规定；熟悉信用评级机构及其员工应遵守的行为准则。</w:t>
      </w:r>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（2）信用评级业务规范</w:t>
      </w:r>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信用评级业务的基本原则；掌握关于信用评级小组及小组成员的相关规定；掌握关于评级信息的来源及质量的相关规定；熟悉关于信用评级程序的相关规定；掌握关于信用等级符号及定义的相关规定；熟悉关于信用评级报告的相关规定；熟悉关于评级结果发布的相关规定。</w:t>
      </w:r>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（3）信用评级业务管理规范</w:t>
      </w:r>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熟悉评级机构开展信用评级业务应遵循的准则和具体要求；了解主管部门对评级业务的管理方式和具体管理措施。</w:t>
      </w:r>
    </w:p>
    <w:p>
      <w:pPr>
        <w:pStyle w:val="4"/>
        <w:ind w:firstLine="602"/>
        <w:rPr>
          <w:rFonts w:ascii="仿宋_GB2312" w:hAnsi="仿宋_GB2312" w:cs="仿宋_GB2312"/>
          <w:bCs w:val="0"/>
          <w:szCs w:val="22"/>
        </w:rPr>
      </w:pPr>
      <w:bookmarkStart w:id="432" w:name="_Toc754167096"/>
      <w:bookmarkStart w:id="433" w:name="_Toc891975231"/>
      <w:bookmarkStart w:id="434" w:name="_Toc1179553458"/>
      <w:bookmarkStart w:id="435" w:name="_Toc1884731836"/>
      <w:bookmarkStart w:id="436" w:name="_Toc110431120"/>
      <w:bookmarkStart w:id="437" w:name="_Toc131753912"/>
      <w:bookmarkStart w:id="438" w:name="_Toc14739"/>
      <w:bookmarkStart w:id="439" w:name="_Toc21521"/>
      <w:bookmarkStart w:id="440" w:name="_Toc27877"/>
      <w:r>
        <w:rPr>
          <w:rFonts w:hint="eastAsia" w:ascii="仿宋_GB2312" w:hAnsi="仿宋_GB2312" w:cs="仿宋_GB2312"/>
          <w:bCs w:val="0"/>
          <w:szCs w:val="22"/>
        </w:rPr>
        <w:t>2.《关于加强银行间债券市场信用评级作业管理的通知》（2008年3月11日公布并施行）</w:t>
      </w:r>
      <w:bookmarkEnd w:id="432"/>
      <w:bookmarkEnd w:id="433"/>
      <w:bookmarkEnd w:id="434"/>
      <w:bookmarkEnd w:id="435"/>
      <w:bookmarkEnd w:id="436"/>
      <w:bookmarkEnd w:id="437"/>
      <w:bookmarkEnd w:id="438"/>
      <w:bookmarkEnd w:id="439"/>
      <w:bookmarkEnd w:id="440"/>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对于银行间债券市场信用评级机构现场访谈作业管理的要求；了解对于银行间债券市场信用评级机构评级作业时间的要求；熟悉对于债券发行人是否为集团企业的判定方式和对于信用评级机构报备材料的相关要求。</w:t>
      </w:r>
    </w:p>
    <w:p>
      <w:pPr>
        <w:pStyle w:val="4"/>
        <w:ind w:firstLine="602"/>
        <w:rPr>
          <w:rFonts w:ascii="仿宋_GB2312" w:hAnsi="仿宋_GB2312" w:cs="仿宋_GB2312"/>
          <w:bCs w:val="0"/>
          <w:szCs w:val="22"/>
        </w:rPr>
      </w:pPr>
      <w:bookmarkStart w:id="441" w:name="_Toc119580720"/>
      <w:bookmarkStart w:id="442" w:name="_Toc1897"/>
      <w:bookmarkStart w:id="443" w:name="_Toc2035816641"/>
      <w:bookmarkStart w:id="444" w:name="_Toc31761"/>
      <w:bookmarkStart w:id="445" w:name="_Toc110431121"/>
      <w:bookmarkStart w:id="446" w:name="_Toc1113402186"/>
      <w:bookmarkStart w:id="447" w:name="_Toc383411670"/>
      <w:bookmarkStart w:id="448" w:name="_Toc4160"/>
      <w:bookmarkStart w:id="449" w:name="_Toc1939180899"/>
      <w:r>
        <w:rPr>
          <w:rFonts w:hint="eastAsia" w:ascii="仿宋_GB2312" w:hAnsi="仿宋_GB2312" w:cs="仿宋_GB2312"/>
          <w:bCs w:val="0"/>
          <w:szCs w:val="22"/>
        </w:rPr>
        <w:t>3.《中国人民银行公告〔2017〕第7号》（2017年7月1日公布并施行）</w:t>
      </w:r>
      <w:bookmarkEnd w:id="441"/>
      <w:bookmarkEnd w:id="442"/>
      <w:bookmarkEnd w:id="443"/>
      <w:bookmarkEnd w:id="444"/>
      <w:bookmarkEnd w:id="445"/>
      <w:bookmarkEnd w:id="446"/>
      <w:bookmarkEnd w:id="447"/>
      <w:bookmarkEnd w:id="448"/>
      <w:bookmarkEnd w:id="449"/>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了解境内评级机构开展银行间市场评级业务的条件；了解境外评级机构开展银行间市场评级业务的条件；熟悉评级机构向自律组织申请注册、向监管部门报备的要求；掌握评级机构的禁止性行为。</w:t>
      </w:r>
    </w:p>
    <w:p>
      <w:pPr>
        <w:pStyle w:val="4"/>
        <w:ind w:firstLine="602"/>
        <w:rPr>
          <w:rFonts w:ascii="仿宋_GB2312" w:hAnsi="仿宋_GB2312" w:cs="仿宋_GB2312"/>
          <w:bCs w:val="0"/>
          <w:szCs w:val="22"/>
        </w:rPr>
      </w:pPr>
      <w:bookmarkStart w:id="450" w:name="_Toc2107401290"/>
      <w:bookmarkStart w:id="451" w:name="_Toc22066"/>
      <w:bookmarkStart w:id="452" w:name="_Toc370187332"/>
      <w:bookmarkStart w:id="453" w:name="_Toc93617989"/>
      <w:bookmarkStart w:id="454" w:name="_Toc1814"/>
      <w:bookmarkStart w:id="455" w:name="_Toc872577252"/>
      <w:bookmarkStart w:id="456" w:name="_Toc21210"/>
      <w:bookmarkStart w:id="457" w:name="_Toc110431122"/>
      <w:bookmarkStart w:id="458" w:name="_Toc1104780859"/>
      <w:r>
        <w:rPr>
          <w:rFonts w:hint="eastAsia" w:ascii="仿宋_GB2312" w:hAnsi="仿宋_GB2312" w:cs="仿宋_GB2312"/>
          <w:bCs w:val="0"/>
          <w:szCs w:val="22"/>
        </w:rPr>
        <w:t>4.</w:t>
      </w:r>
      <w:bookmarkEnd w:id="450"/>
      <w:bookmarkEnd w:id="451"/>
      <w:bookmarkEnd w:id="452"/>
      <w:bookmarkEnd w:id="453"/>
      <w:bookmarkEnd w:id="454"/>
      <w:bookmarkEnd w:id="455"/>
      <w:bookmarkEnd w:id="456"/>
      <w:bookmarkEnd w:id="457"/>
      <w:r>
        <w:rPr>
          <w:rFonts w:hint="eastAsia" w:ascii="仿宋_GB2312" w:hAnsi="仿宋_GB2312" w:cs="仿宋_GB2312"/>
          <w:bCs w:val="0"/>
          <w:szCs w:val="22"/>
        </w:rPr>
        <w:t>《银行间债券市场信用评级业务自律指引》（2024年3月1日发布，2024年6月1日起施行）</w:t>
      </w:r>
      <w:bookmarkEnd w:id="458"/>
    </w:p>
    <w:p>
      <w:pPr>
        <w:pStyle w:val="4"/>
        <w:ind w:firstLine="600"/>
        <w:rPr>
          <w:rFonts w:ascii="Times New Roman"/>
          <w:b w:val="0"/>
          <w:bCs w:val="0"/>
          <w:color w:val="000000"/>
          <w:szCs w:val="30"/>
        </w:rPr>
      </w:pPr>
      <w:bookmarkStart w:id="459" w:name="_Toc110431123"/>
      <w:bookmarkStart w:id="460" w:name="_Toc18879"/>
      <w:r>
        <w:rPr>
          <w:rFonts w:hint="eastAsia" w:ascii="Times New Roman"/>
          <w:b w:val="0"/>
          <w:bCs w:val="0"/>
          <w:color w:val="000000"/>
          <w:szCs w:val="30"/>
        </w:rPr>
        <w:t>掌握信用评级机构应遵循的原则；掌握信用评级的各项程序要求；掌握信用评级各环节业务规范；掌握信用评级机构及人员的禁止行为；掌握信用评级机构独立开展业务、防范利益冲突的相关要求；掌握信用评级体系、评级质量验证机制的相关要求；掌握信用评级机构应当建立信用评级业务制度信息披露事务管理制度、信用评级信息系统管理制度等要求；了解交易商协会自律管理可以采取的管理方式。</w:t>
      </w:r>
      <w:bookmarkStart w:id="461" w:name="_Toc228002457"/>
      <w:bookmarkStart w:id="462" w:name="_Toc14487"/>
      <w:bookmarkStart w:id="463" w:name="_Toc714504700"/>
      <w:bookmarkStart w:id="464" w:name="_Toc689731655"/>
      <w:bookmarkStart w:id="465" w:name="_Toc1230211763"/>
      <w:bookmarkStart w:id="466" w:name="_Toc32311"/>
      <w:bookmarkStart w:id="467" w:name="_Toc1227534421"/>
    </w:p>
    <w:p>
      <w:pPr>
        <w:pStyle w:val="4"/>
        <w:ind w:firstLine="602"/>
        <w:rPr>
          <w:rFonts w:ascii="仿宋_GB2312" w:hAnsi="仿宋_GB2312" w:cs="仿宋_GB2312"/>
          <w:bCs w:val="0"/>
          <w:szCs w:val="22"/>
        </w:rPr>
      </w:pPr>
      <w:r>
        <w:rPr>
          <w:rFonts w:hint="eastAsia" w:ascii="仿宋_GB2312" w:hAnsi="仿宋_GB2312" w:cs="仿宋_GB2312"/>
          <w:bCs w:val="0"/>
          <w:szCs w:val="22"/>
        </w:rPr>
        <w:t>5.</w:t>
      </w:r>
      <w:bookmarkEnd w:id="459"/>
      <w:bookmarkEnd w:id="460"/>
      <w:bookmarkEnd w:id="461"/>
      <w:bookmarkEnd w:id="462"/>
      <w:bookmarkEnd w:id="463"/>
      <w:bookmarkEnd w:id="464"/>
      <w:bookmarkEnd w:id="465"/>
      <w:bookmarkEnd w:id="466"/>
      <w:r>
        <w:rPr>
          <w:rFonts w:hint="eastAsia" w:ascii="仿宋_GB2312" w:hAnsi="仿宋_GB2312" w:cs="仿宋_GB2312"/>
          <w:bCs w:val="0"/>
          <w:szCs w:val="22"/>
        </w:rPr>
        <w:t>《银行间债券市场信用评级业务信息披露指引》（2024年3月1日发布，2024年6月1日起施行）</w:t>
      </w:r>
      <w:bookmarkEnd w:id="467"/>
    </w:p>
    <w:p>
      <w:pPr>
        <w:pStyle w:val="4"/>
        <w:ind w:firstLine="600"/>
        <w:rPr>
          <w:rFonts w:ascii="Times New Roman"/>
          <w:b w:val="0"/>
          <w:bCs w:val="0"/>
          <w:color w:val="000000"/>
          <w:szCs w:val="30"/>
        </w:rPr>
      </w:pPr>
      <w:r>
        <w:rPr>
          <w:rFonts w:hint="eastAsia" w:ascii="Times New Roman"/>
          <w:b w:val="0"/>
          <w:bCs w:val="0"/>
          <w:color w:val="000000"/>
          <w:szCs w:val="30"/>
        </w:rPr>
        <w:t>熟悉银行间债券市场信用评级业务信息披露指引适用范围、信息披露原则和要求；掌握信用评级报告应当披露的信息；掌握不定期跟踪评级报告应当披露的信息；掌握评级机构未按时披露跟踪评级报告应采取的措施；掌握信用评级机构终止有效期内评级结果应当披露的信息；掌握关于信用评级质量检验报告的披露要求；掌握关于回溯检验和回溯检验报告的规定；掌握关于评级业务合规运行情况报告的披露要求；掌握关于信用评级体系及质量控制制度的信息披露要求；掌握信息披露事务管理制度建立及披露要求；掌握可能影响信用评级业务开展的重大事项及信息披露要求；了解交易商协会对违反信息披露要求的自律管理措施。</w:t>
      </w:r>
      <w:bookmarkStart w:id="468" w:name="_Toc1702376141"/>
      <w:bookmarkStart w:id="469" w:name="_Toc694615078"/>
      <w:bookmarkStart w:id="470" w:name="_Toc110431124"/>
      <w:bookmarkStart w:id="471" w:name="_Toc24886"/>
      <w:bookmarkStart w:id="472" w:name="_Toc1884730631"/>
      <w:bookmarkStart w:id="473" w:name="_Toc18845"/>
      <w:bookmarkStart w:id="474" w:name="_Toc745548128"/>
      <w:bookmarkStart w:id="475" w:name="_Toc6885"/>
      <w:bookmarkStart w:id="476" w:name="_Toc157093088"/>
    </w:p>
    <w:p>
      <w:pPr>
        <w:pStyle w:val="4"/>
        <w:ind w:firstLine="602"/>
        <w:rPr>
          <w:rFonts w:ascii="仿宋_GB2312" w:hAnsi="仿宋_GB2312" w:cs="仿宋_GB2312"/>
          <w:bCs w:val="0"/>
          <w:szCs w:val="22"/>
        </w:rPr>
      </w:pPr>
      <w:r>
        <w:rPr>
          <w:rFonts w:hint="eastAsia" w:ascii="仿宋_GB2312" w:hAnsi="仿宋_GB2312" w:cs="仿宋_GB2312"/>
          <w:bCs w:val="0"/>
          <w:szCs w:val="22"/>
        </w:rPr>
        <w:t>6.《银行间债券市场信用评级机构注册评价规则》（2018年3月27日发布并施行）</w:t>
      </w:r>
      <w:bookmarkEnd w:id="468"/>
      <w:bookmarkEnd w:id="469"/>
      <w:bookmarkEnd w:id="470"/>
      <w:bookmarkEnd w:id="471"/>
      <w:bookmarkEnd w:id="472"/>
      <w:bookmarkEnd w:id="473"/>
      <w:bookmarkEnd w:id="474"/>
      <w:bookmarkEnd w:id="475"/>
      <w:bookmarkEnd w:id="476"/>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交易商协会对评级机构的分层分类管理制度；掌握评级机构注册评价的原则和指标；了解评级机构注册文件表格体系；熟悉评级机构注册评价的实施程序；熟悉评级机构注册评价结果的运用；掌握评级机构注册评价的自律规范。</w:t>
      </w:r>
    </w:p>
    <w:p>
      <w:pPr>
        <w:pStyle w:val="4"/>
        <w:ind w:firstLine="602"/>
        <w:rPr>
          <w:rFonts w:ascii="仿宋_GB2312" w:hAnsi="仿宋_GB2312" w:cs="仿宋_GB2312"/>
          <w:bCs w:val="0"/>
          <w:szCs w:val="22"/>
        </w:rPr>
      </w:pPr>
      <w:bookmarkStart w:id="477" w:name="_Toc1356215540"/>
      <w:bookmarkStart w:id="478" w:name="_Toc647152925"/>
      <w:bookmarkStart w:id="479" w:name="_Toc21699"/>
      <w:bookmarkStart w:id="480" w:name="_Toc1361326325"/>
      <w:bookmarkStart w:id="481" w:name="_Toc1156382674"/>
      <w:bookmarkStart w:id="482" w:name="_Toc22389"/>
      <w:bookmarkStart w:id="483" w:name="_Toc1002695985"/>
      <w:r>
        <w:rPr>
          <w:rFonts w:hint="eastAsia" w:ascii="仿宋_GB2312" w:hAnsi="仿宋_GB2312" w:cs="仿宋_GB2312"/>
          <w:bCs w:val="0"/>
          <w:szCs w:val="22"/>
        </w:rPr>
        <w:t>7.《银行间债券市场非金融企业债务融资工具中介服务规则（2020版）》（2008年4月15日公布，2020年6月12日最新修订并施行）</w:t>
      </w:r>
      <w:bookmarkEnd w:id="477"/>
      <w:bookmarkEnd w:id="478"/>
      <w:bookmarkEnd w:id="479"/>
      <w:bookmarkEnd w:id="480"/>
      <w:bookmarkEnd w:id="481"/>
      <w:bookmarkEnd w:id="482"/>
      <w:bookmarkEnd w:id="483"/>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掌握中介服务业务规范、中介机构行为规范；熟悉对中介机构实施自律管理措施及自律处分的规定。</w:t>
      </w:r>
    </w:p>
    <w:p>
      <w:pPr>
        <w:pStyle w:val="3"/>
        <w:ind w:firstLine="602"/>
        <w:rPr>
          <w:rFonts w:ascii="宋体" w:hAnsi="宋体"/>
          <w:szCs w:val="36"/>
        </w:rPr>
      </w:pPr>
      <w:bookmarkStart w:id="484" w:name="_Toc10450"/>
      <w:bookmarkStart w:id="485" w:name="_Toc510280369"/>
      <w:bookmarkStart w:id="486" w:name="_Toc891042202"/>
      <w:bookmarkStart w:id="487" w:name="_Toc1809991026"/>
      <w:bookmarkStart w:id="488" w:name="_Toc110431129"/>
      <w:bookmarkStart w:id="489" w:name="_Toc20752"/>
      <w:bookmarkStart w:id="490" w:name="_Toc845074967"/>
      <w:bookmarkStart w:id="491" w:name="_Toc17357598"/>
      <w:bookmarkStart w:id="492" w:name="_Toc11294"/>
      <w:r>
        <w:rPr>
          <w:rFonts w:hint="eastAsia" w:ascii="宋体" w:hAnsi="宋体"/>
          <w:szCs w:val="36"/>
        </w:rPr>
        <w:t>（二）债券发行与交易</w:t>
      </w:r>
      <w:bookmarkEnd w:id="484"/>
      <w:bookmarkEnd w:id="485"/>
      <w:bookmarkEnd w:id="486"/>
      <w:bookmarkEnd w:id="487"/>
      <w:bookmarkEnd w:id="488"/>
      <w:bookmarkEnd w:id="489"/>
      <w:bookmarkEnd w:id="490"/>
      <w:bookmarkEnd w:id="491"/>
      <w:bookmarkEnd w:id="492"/>
    </w:p>
    <w:p>
      <w:pPr>
        <w:pStyle w:val="4"/>
        <w:ind w:firstLine="602"/>
        <w:rPr>
          <w:rFonts w:ascii="仿宋_GB2312" w:hAnsi="仿宋_GB2312" w:cs="仿宋_GB2312"/>
          <w:bCs w:val="0"/>
          <w:szCs w:val="22"/>
        </w:rPr>
      </w:pPr>
      <w:bookmarkStart w:id="493" w:name="_Toc880113445"/>
      <w:bookmarkStart w:id="494" w:name="_Toc868727907"/>
      <w:bookmarkStart w:id="495" w:name="_Toc110431130"/>
      <w:bookmarkStart w:id="496" w:name="_Toc164804549"/>
      <w:bookmarkStart w:id="497" w:name="_Toc2799"/>
      <w:bookmarkStart w:id="498" w:name="_Toc289168158"/>
      <w:bookmarkStart w:id="499" w:name="_Toc8866"/>
      <w:bookmarkStart w:id="500" w:name="_Toc700166872"/>
      <w:bookmarkStart w:id="501" w:name="_Toc4116"/>
      <w:r>
        <w:rPr>
          <w:rFonts w:hint="eastAsia" w:ascii="仿宋_GB2312" w:hAnsi="仿宋_GB2312" w:cs="仿宋_GB2312"/>
          <w:bCs w:val="0"/>
          <w:szCs w:val="22"/>
        </w:rPr>
        <w:t>1.《银行间债券市场非金融企业债务融资工具管理办法》（2008年4月9日公布，2008年4月15日起施行）</w:t>
      </w:r>
      <w:bookmarkEnd w:id="493"/>
      <w:bookmarkEnd w:id="494"/>
      <w:bookmarkEnd w:id="495"/>
      <w:bookmarkEnd w:id="496"/>
      <w:bookmarkEnd w:id="497"/>
      <w:bookmarkEnd w:id="498"/>
      <w:bookmarkEnd w:id="499"/>
      <w:bookmarkEnd w:id="500"/>
      <w:bookmarkEnd w:id="501"/>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了解非金融企业债务融资工具的定义及发行方式；熟悉对债务融资工具的自律管理措施。</w:t>
      </w:r>
    </w:p>
    <w:p>
      <w:pPr>
        <w:pStyle w:val="4"/>
        <w:ind w:firstLine="602"/>
        <w:rPr>
          <w:rFonts w:ascii="仿宋_GB2312" w:hAnsi="仿宋_GB2312" w:cs="仿宋_GB2312"/>
          <w:szCs w:val="22"/>
        </w:rPr>
      </w:pPr>
      <w:bookmarkStart w:id="502" w:name="_Toc1912306245"/>
      <w:bookmarkStart w:id="503" w:name="_Toc710784525"/>
      <w:bookmarkStart w:id="504" w:name="_Toc110431131"/>
      <w:bookmarkStart w:id="505" w:name="_Toc30230"/>
      <w:bookmarkStart w:id="506" w:name="_Toc15468"/>
      <w:bookmarkStart w:id="507" w:name="_Toc367327569"/>
      <w:bookmarkStart w:id="508" w:name="_Toc29040"/>
      <w:bookmarkStart w:id="509" w:name="_Toc258128781"/>
      <w:bookmarkStart w:id="510" w:name="_Toc1069693642"/>
      <w:r>
        <w:rPr>
          <w:rFonts w:hint="eastAsia" w:ascii="仿宋_GB2312" w:hAnsi="仿宋_GB2312" w:cs="仿宋_GB2312"/>
          <w:bCs w:val="0"/>
          <w:szCs w:val="22"/>
        </w:rPr>
        <w:t>2</w:t>
      </w:r>
      <w:r>
        <w:rPr>
          <w:rFonts w:ascii="仿宋_GB2312" w:hAnsi="仿宋_GB2312" w:cs="仿宋_GB2312"/>
          <w:szCs w:val="22"/>
        </w:rPr>
        <w:t>.</w:t>
      </w:r>
      <w:r>
        <w:rPr>
          <w:rFonts w:hint="eastAsia" w:ascii="仿宋_GB2312" w:hAnsi="仿宋_GB2312" w:cs="仿宋_GB2312"/>
          <w:szCs w:val="22"/>
        </w:rPr>
        <w:t>《中国人民银行公告〔</w:t>
      </w:r>
      <w:r>
        <w:rPr>
          <w:rFonts w:ascii="仿宋_GB2312" w:hAnsi="仿宋_GB2312" w:cs="仿宋_GB2312"/>
          <w:szCs w:val="22"/>
        </w:rPr>
        <w:t>2021</w:t>
      </w:r>
      <w:r>
        <w:rPr>
          <w:rFonts w:hint="eastAsia" w:ascii="仿宋_GB2312" w:hAnsi="仿宋_GB2312" w:cs="仿宋_GB2312"/>
          <w:szCs w:val="22"/>
        </w:rPr>
        <w:t>〕第</w:t>
      </w:r>
      <w:r>
        <w:rPr>
          <w:rFonts w:ascii="仿宋_GB2312" w:hAnsi="仿宋_GB2312" w:cs="仿宋_GB2312"/>
          <w:szCs w:val="22"/>
        </w:rPr>
        <w:t>11</w:t>
      </w:r>
      <w:r>
        <w:rPr>
          <w:rFonts w:hint="eastAsia" w:ascii="仿宋_GB2312" w:hAnsi="仿宋_GB2312" w:cs="仿宋_GB2312"/>
          <w:szCs w:val="22"/>
        </w:rPr>
        <w:t>号》（2021年8月11日公布并施行）及《关于取消非金融企业债务融资工具信用评级要求有关事项的通知》（2021年8月13日发布并施行）</w:t>
      </w:r>
      <w:bookmarkEnd w:id="502"/>
      <w:bookmarkEnd w:id="503"/>
      <w:bookmarkEnd w:id="504"/>
      <w:bookmarkEnd w:id="505"/>
      <w:bookmarkEnd w:id="506"/>
      <w:bookmarkEnd w:id="507"/>
      <w:bookmarkEnd w:id="508"/>
      <w:bookmarkEnd w:id="509"/>
      <w:bookmarkEnd w:id="510"/>
    </w:p>
    <w:p>
      <w:pPr>
        <w:ind w:firstLine="600" w:firstLineChars="200"/>
      </w:pPr>
      <w:r>
        <w:rPr>
          <w:rFonts w:hint="eastAsia" w:ascii="Times New Roman" w:eastAsia="仿宋_GB2312"/>
          <w:color w:val="000000"/>
          <w:sz w:val="30"/>
          <w:szCs w:val="30"/>
        </w:rPr>
        <w:t>掌握取消企业注册发行债务融资工具需披露信用评级报告及跟踪评级安排的要求。</w:t>
      </w:r>
    </w:p>
    <w:p>
      <w:pPr>
        <w:pStyle w:val="4"/>
        <w:ind w:firstLine="602"/>
        <w:rPr>
          <w:rFonts w:ascii="仿宋_GB2312" w:hAnsi="仿宋_GB2312" w:cs="仿宋_GB2312"/>
          <w:bCs w:val="0"/>
          <w:szCs w:val="22"/>
        </w:rPr>
      </w:pPr>
      <w:bookmarkStart w:id="511" w:name="_Toc614914414"/>
      <w:bookmarkStart w:id="512" w:name="_Toc1756642214"/>
      <w:bookmarkStart w:id="513" w:name="_Toc1592368906"/>
      <w:bookmarkStart w:id="514" w:name="_Toc1645188782"/>
      <w:bookmarkStart w:id="515" w:name="_Toc9808"/>
      <w:bookmarkStart w:id="516" w:name="_Toc1021988273"/>
      <w:bookmarkStart w:id="517" w:name="_Toc13733"/>
      <w:bookmarkStart w:id="518" w:name="_Toc110431132"/>
      <w:bookmarkStart w:id="519" w:name="_Toc20776"/>
      <w:r>
        <w:rPr>
          <w:rFonts w:hint="eastAsia" w:ascii="仿宋_GB2312" w:hAnsi="仿宋_GB2312" w:cs="仿宋_GB2312"/>
          <w:bCs w:val="0"/>
          <w:szCs w:val="22"/>
        </w:rPr>
        <w:t>3.《全国银行间债券市场金融债券发行管理办法》（2005年4月27日公布，2005年6月1日起施行）</w:t>
      </w:r>
      <w:bookmarkEnd w:id="511"/>
      <w:bookmarkEnd w:id="512"/>
      <w:bookmarkEnd w:id="513"/>
      <w:bookmarkEnd w:id="514"/>
      <w:bookmarkEnd w:id="515"/>
      <w:bookmarkEnd w:id="516"/>
      <w:bookmarkEnd w:id="517"/>
      <w:bookmarkEnd w:id="518"/>
      <w:bookmarkEnd w:id="519"/>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金融债券、金融机构法人的定义；熟悉金融债券的发行监管机构及发行原则；了解政策性银行发行申请条件；了解商业银行发行金融债券应具备的条件；了解企业集团财务公司发行金融债券应具备的条件；了解金融机构、政策性银行发行金融债券应向中国人民银行报送的文件内容；熟悉金融债券的发行方式；掌握金融债券发行中信用评级机构的职责和法律责任。</w:t>
      </w:r>
    </w:p>
    <w:p>
      <w:pPr>
        <w:pStyle w:val="4"/>
        <w:ind w:firstLine="602"/>
        <w:rPr>
          <w:rFonts w:ascii="仿宋_GB2312" w:hAnsi="仿宋_GB2312" w:cs="仿宋_GB2312"/>
          <w:bCs w:val="0"/>
          <w:szCs w:val="22"/>
        </w:rPr>
      </w:pPr>
      <w:bookmarkStart w:id="520" w:name="_Toc2106416596"/>
      <w:bookmarkStart w:id="521" w:name="_Toc1989827303"/>
      <w:bookmarkStart w:id="522" w:name="_Toc1722275902"/>
      <w:bookmarkStart w:id="523" w:name="_Toc110431133"/>
      <w:bookmarkStart w:id="524" w:name="_Toc1649308259"/>
      <w:bookmarkStart w:id="525" w:name="_Toc1571750272"/>
      <w:bookmarkStart w:id="526" w:name="_Toc17739"/>
      <w:bookmarkStart w:id="527" w:name="_Toc26385"/>
      <w:bookmarkStart w:id="528" w:name="_Toc9620"/>
      <w:r>
        <w:rPr>
          <w:rFonts w:hint="eastAsia" w:ascii="仿宋_GB2312" w:hAnsi="仿宋_GB2312" w:cs="仿宋_GB2312"/>
          <w:bCs w:val="0"/>
          <w:szCs w:val="22"/>
        </w:rPr>
        <w:t>4.《证券公司短期融资券管理办法》（</w:t>
      </w:r>
      <w:r>
        <w:rPr>
          <w:rFonts w:hint="eastAsia" w:ascii="仿宋_GB2312" w:hAnsi="仿宋_GB2312" w:cs="仿宋_GB2312"/>
          <w:szCs w:val="22"/>
        </w:rPr>
        <w:t>2021年7月20日</w:t>
      </w:r>
      <w:r>
        <w:rPr>
          <w:rFonts w:hint="eastAsia" w:ascii="仿宋_GB2312" w:hAnsi="仿宋_GB2312" w:cs="仿宋_GB2312"/>
          <w:bCs w:val="0"/>
          <w:szCs w:val="22"/>
        </w:rPr>
        <w:t>公布</w:t>
      </w:r>
      <w:r>
        <w:rPr>
          <w:rFonts w:hint="eastAsia" w:ascii="仿宋_GB2312" w:hAnsi="仿宋_GB2312" w:cs="仿宋_GB2312"/>
          <w:szCs w:val="22"/>
        </w:rPr>
        <w:t>，2021年9月1</w:t>
      </w:r>
      <w:r>
        <w:rPr>
          <w:rFonts w:hint="eastAsia" w:ascii="仿宋_GB2312" w:hAnsi="仿宋_GB2312" w:cs="仿宋_GB2312"/>
          <w:bCs w:val="0"/>
          <w:szCs w:val="22"/>
        </w:rPr>
        <w:t>日起</w:t>
      </w:r>
      <w:r>
        <w:rPr>
          <w:rFonts w:hint="eastAsia" w:ascii="仿宋_GB2312" w:hAnsi="仿宋_GB2312" w:cs="仿宋_GB2312"/>
          <w:szCs w:val="22"/>
        </w:rPr>
        <w:t>施行</w:t>
      </w:r>
      <w:r>
        <w:rPr>
          <w:rFonts w:hint="eastAsia" w:ascii="仿宋_GB2312" w:hAnsi="仿宋_GB2312" w:cs="仿宋_GB2312"/>
          <w:bCs w:val="0"/>
          <w:szCs w:val="22"/>
        </w:rPr>
        <w:t>）</w:t>
      </w:r>
      <w:bookmarkEnd w:id="520"/>
      <w:bookmarkEnd w:id="521"/>
      <w:bookmarkEnd w:id="522"/>
      <w:bookmarkEnd w:id="523"/>
      <w:bookmarkEnd w:id="524"/>
      <w:bookmarkEnd w:id="525"/>
      <w:bookmarkEnd w:id="526"/>
      <w:bookmarkEnd w:id="527"/>
      <w:bookmarkEnd w:id="528"/>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有关证券公司短期融资券监管机构、发行和交易场所的规定；熟悉有关证券公司短期融资券的发行和交易原则、还本付息的要求；掌握申请发行证券公司短期融资券的条件；熟悉证券公司发行短期融资券的余额管理和调整的规定；掌握证券公司短期融资券期限的规定；掌握募集资金用途的禁止性规定；了解发行人的信息披露要求、内容和豁免规定；了解监管处罚规定。</w:t>
      </w:r>
    </w:p>
    <w:p>
      <w:pPr>
        <w:pStyle w:val="4"/>
        <w:ind w:firstLine="602"/>
        <w:rPr>
          <w:rFonts w:ascii="仿宋_GB2312" w:hAnsi="仿宋_GB2312" w:cs="仿宋_GB2312"/>
          <w:bCs w:val="0"/>
          <w:szCs w:val="22"/>
        </w:rPr>
      </w:pPr>
      <w:bookmarkStart w:id="529" w:name="_Toc2034004161"/>
      <w:bookmarkStart w:id="530" w:name="_Toc2059"/>
      <w:bookmarkStart w:id="531" w:name="_Toc110431134"/>
      <w:bookmarkStart w:id="532" w:name="_Toc855051857"/>
      <w:bookmarkStart w:id="533" w:name="_Toc29905"/>
      <w:bookmarkStart w:id="534" w:name="_Toc526041799"/>
      <w:bookmarkStart w:id="535" w:name="_Toc2032"/>
      <w:bookmarkStart w:id="536" w:name="_Toc34729622"/>
      <w:bookmarkStart w:id="537" w:name="_Toc726320696"/>
      <w:r>
        <w:rPr>
          <w:rFonts w:hint="eastAsia" w:ascii="仿宋_GB2312" w:hAnsi="仿宋_GB2312" w:cs="仿宋_GB2312"/>
          <w:bCs w:val="0"/>
          <w:szCs w:val="22"/>
        </w:rPr>
        <w:t>5.《商业银行次级债券发行管理办法》（2004年6月17日公布并施行）</w:t>
      </w:r>
      <w:bookmarkEnd w:id="529"/>
      <w:bookmarkEnd w:id="530"/>
      <w:bookmarkEnd w:id="531"/>
      <w:bookmarkEnd w:id="532"/>
      <w:bookmarkEnd w:id="533"/>
      <w:bookmarkEnd w:id="534"/>
      <w:bookmarkEnd w:id="535"/>
      <w:bookmarkEnd w:id="536"/>
      <w:bookmarkEnd w:id="537"/>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商业银行次级债定义；熟悉次级债发行方式、发行人、发行原则及监管机构；熟悉商业银行公开发行次级债券应具备的条件；熟悉商业银行以私募方式发行次级债券或募集次级定期债务应符合的条件；掌握商业银行发行次级债券申请文件中有关信用评级报告的规定；了解发行次级债的额度要求；掌握次级债发行的信用评级要求、发行方式；了解发行次级债的时间限制、监管报告要求；掌握私募发行次级债券的信用评级要求。</w:t>
      </w:r>
    </w:p>
    <w:p>
      <w:pPr>
        <w:pStyle w:val="4"/>
        <w:ind w:firstLine="602"/>
        <w:rPr>
          <w:rFonts w:ascii="仿宋_GB2312" w:hAnsi="仿宋_GB2312" w:cs="仿宋_GB2312"/>
          <w:bCs w:val="0"/>
          <w:szCs w:val="22"/>
        </w:rPr>
      </w:pPr>
      <w:bookmarkStart w:id="538" w:name="_Toc110431135"/>
      <w:bookmarkStart w:id="539" w:name="_Toc124562719"/>
      <w:bookmarkStart w:id="540" w:name="_Toc1413012014"/>
      <w:bookmarkStart w:id="541" w:name="_Toc13723"/>
      <w:bookmarkStart w:id="542" w:name="_Toc1054847995"/>
      <w:bookmarkStart w:id="543" w:name="_Toc27635"/>
      <w:bookmarkStart w:id="544" w:name="_Toc32707"/>
      <w:bookmarkStart w:id="545" w:name="_Toc333722692"/>
      <w:bookmarkStart w:id="546" w:name="_Toc699332513"/>
      <w:r>
        <w:rPr>
          <w:rFonts w:hint="eastAsia" w:ascii="仿宋_GB2312" w:hAnsi="仿宋_GB2312" w:cs="仿宋_GB2312"/>
          <w:bCs w:val="0"/>
          <w:szCs w:val="22"/>
        </w:rPr>
        <w:t>6.《信贷资产证券化试点管理办法》（2005年4月20日公布并施行）</w:t>
      </w:r>
      <w:bookmarkEnd w:id="538"/>
      <w:bookmarkEnd w:id="539"/>
      <w:bookmarkEnd w:id="540"/>
      <w:bookmarkEnd w:id="541"/>
      <w:bookmarkEnd w:id="542"/>
      <w:bookmarkEnd w:id="543"/>
      <w:bookmarkEnd w:id="544"/>
      <w:bookmarkEnd w:id="545"/>
      <w:bookmarkEnd w:id="546"/>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资产支持证券的含义、性质和发行方式；熟悉资产支持证券的原则和涉及的机构；熟悉信托财产的定义和关于信托财产独立性的规定；了解资产支持证券的监管机构；掌握资产支持证券发行申请材料中有关信用评级报告的规定；掌握资产支持证券的增级方式；掌握发行资产支持证券有关信用评级机构及其职责的规定；熟悉资产支持证券的发行方式；掌握资产支持证券定向发行免于信用评级的规定。</w:t>
      </w:r>
    </w:p>
    <w:p>
      <w:pPr>
        <w:pStyle w:val="4"/>
        <w:ind w:firstLine="602"/>
        <w:rPr>
          <w:rFonts w:ascii="仿宋_GB2312" w:hAnsi="仿宋_GB2312" w:cs="仿宋_GB2312"/>
          <w:bCs w:val="0"/>
          <w:szCs w:val="22"/>
        </w:rPr>
      </w:pPr>
      <w:bookmarkStart w:id="547" w:name="_Toc16488"/>
      <w:bookmarkStart w:id="548" w:name="_Toc21042"/>
      <w:bookmarkStart w:id="549" w:name="_Toc3763"/>
      <w:bookmarkStart w:id="550" w:name="_Toc1725074820"/>
      <w:bookmarkStart w:id="551" w:name="_Toc455293199"/>
      <w:bookmarkStart w:id="552" w:name="_Toc987615853"/>
      <w:bookmarkStart w:id="553" w:name="_Toc110431136"/>
      <w:bookmarkStart w:id="554" w:name="_Toc1571538299"/>
      <w:bookmarkStart w:id="555" w:name="_Toc484704712"/>
      <w:r>
        <w:rPr>
          <w:rFonts w:hint="eastAsia" w:ascii="仿宋_GB2312" w:hAnsi="仿宋_GB2312" w:cs="仿宋_GB2312"/>
          <w:bCs w:val="0"/>
          <w:szCs w:val="22"/>
        </w:rPr>
        <w:t>7.《全国银行间债券市场境外机构债券发行管理暂行办法》（2018年9月8日公布并施行）</w:t>
      </w:r>
      <w:bookmarkEnd w:id="547"/>
      <w:bookmarkEnd w:id="548"/>
      <w:bookmarkEnd w:id="549"/>
      <w:bookmarkEnd w:id="550"/>
      <w:bookmarkEnd w:id="551"/>
      <w:bookmarkEnd w:id="552"/>
      <w:bookmarkEnd w:id="553"/>
      <w:bookmarkEnd w:id="554"/>
      <w:bookmarkEnd w:id="555"/>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了解本办法中境外机构的范围；熟悉境外机构发行债券时关于信用评级报告的要求。</w:t>
      </w:r>
    </w:p>
    <w:p>
      <w:pPr>
        <w:pStyle w:val="4"/>
        <w:ind w:firstLine="602"/>
        <w:rPr>
          <w:rFonts w:ascii="仿宋_GB2312" w:hAnsi="仿宋_GB2312" w:cs="仿宋_GB2312"/>
          <w:bCs w:val="0"/>
          <w:szCs w:val="22"/>
        </w:rPr>
      </w:pPr>
      <w:bookmarkStart w:id="556" w:name="_Toc1941304704"/>
      <w:bookmarkStart w:id="557" w:name="_Toc511398851"/>
      <w:bookmarkStart w:id="558" w:name="_Toc618156393"/>
      <w:bookmarkStart w:id="559" w:name="_Toc919661568"/>
      <w:bookmarkStart w:id="560" w:name="_Toc3571"/>
      <w:bookmarkStart w:id="561" w:name="_Toc1515014219"/>
      <w:bookmarkStart w:id="562" w:name="_Toc110431137"/>
      <w:bookmarkStart w:id="563" w:name="_Toc25683"/>
      <w:bookmarkStart w:id="564" w:name="_Toc4097"/>
      <w:r>
        <w:rPr>
          <w:rFonts w:hint="eastAsia" w:ascii="仿宋_GB2312" w:hAnsi="仿宋_GB2312" w:cs="仿宋_GB2312"/>
          <w:bCs w:val="0"/>
          <w:szCs w:val="22"/>
        </w:rPr>
        <w:t>8.交易商协会关于非金融企业超短期融资券、短期融资券、中期票据、资产支持票据、项目收益票据、绿色债务融资工具等业务指引</w:t>
      </w:r>
      <w:bookmarkEnd w:id="556"/>
      <w:bookmarkEnd w:id="557"/>
      <w:bookmarkEnd w:id="558"/>
      <w:bookmarkEnd w:id="559"/>
      <w:bookmarkEnd w:id="560"/>
      <w:bookmarkEnd w:id="561"/>
      <w:bookmarkEnd w:id="562"/>
      <w:bookmarkEnd w:id="563"/>
      <w:bookmarkEnd w:id="564"/>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了解超短期融资券、短期融资券、中期票据、资产支持票据、项目收益票据、绿色债务融资工具的定义；掌握对上述债务融资工具进行信用评级的特别规定。</w:t>
      </w:r>
    </w:p>
    <w:p>
      <w:pPr>
        <w:pStyle w:val="4"/>
        <w:ind w:firstLine="602"/>
        <w:rPr>
          <w:rFonts w:ascii="仿宋_GB2312" w:hAnsi="仿宋_GB2312" w:cs="仿宋_GB2312"/>
          <w:bCs w:val="0"/>
          <w:szCs w:val="22"/>
        </w:rPr>
      </w:pPr>
      <w:bookmarkStart w:id="565" w:name="_Toc110431140"/>
      <w:bookmarkStart w:id="566" w:name="_Toc29213"/>
      <w:bookmarkStart w:id="567" w:name="_Toc17039"/>
      <w:bookmarkStart w:id="568" w:name="_Toc1486719823"/>
      <w:bookmarkStart w:id="569" w:name="_Toc440009495"/>
      <w:bookmarkStart w:id="570" w:name="_Toc1011"/>
      <w:bookmarkStart w:id="571" w:name="_Toc924462410"/>
      <w:bookmarkStart w:id="572" w:name="_Toc503902910"/>
      <w:bookmarkStart w:id="573" w:name="_Toc986088868"/>
      <w:r>
        <w:rPr>
          <w:rFonts w:hint="eastAsia" w:ascii="仿宋_GB2312" w:hAnsi="仿宋_GB2312" w:cs="仿宋_GB2312"/>
          <w:bCs w:val="0"/>
          <w:szCs w:val="22"/>
        </w:rPr>
        <w:t>9.《银行间债券市场非金融企业债务融资工具信息披露规则》（2023年11月13日</w:t>
      </w:r>
      <w:r>
        <w:rPr>
          <w:rFonts w:hint="eastAsia" w:ascii="仿宋_GB2312" w:hAnsi="仿宋_GB2312" w:cs="仿宋_GB2312"/>
          <w:bCs w:val="0"/>
          <w:szCs w:val="22"/>
          <w:lang w:eastAsia="zh-CN"/>
        </w:rPr>
        <w:t>发布</w:t>
      </w:r>
      <w:r>
        <w:rPr>
          <w:rFonts w:hint="eastAsia" w:ascii="仿宋_GB2312" w:hAnsi="仿宋_GB2312" w:cs="仿宋_GB2312"/>
          <w:bCs w:val="0"/>
          <w:szCs w:val="22"/>
        </w:rPr>
        <w:t>并施行）</w:t>
      </w:r>
      <w:bookmarkEnd w:id="565"/>
      <w:bookmarkEnd w:id="566"/>
      <w:bookmarkEnd w:id="567"/>
      <w:bookmarkEnd w:id="568"/>
      <w:bookmarkEnd w:id="569"/>
      <w:bookmarkEnd w:id="570"/>
      <w:bookmarkEnd w:id="571"/>
      <w:bookmarkEnd w:id="572"/>
      <w:bookmarkEnd w:id="573"/>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信息披露的原则及语言要求、信息披露文件变更规定；熟悉债务融资工具存续期内的信息披露要求；熟悉可能影响企业偿债能力的重大事项的范围；掌握信用评级机构非金融企业债务融资工具信息披露要求；了解其他中介机构信息披露要求；熟悉自律管理和自律处分规定；了解信息披露文件送达平台及审核机构。</w:t>
      </w:r>
    </w:p>
    <w:p>
      <w:pPr>
        <w:pStyle w:val="2"/>
        <w:keepLines w:val="0"/>
        <w:spacing w:beforeLines="100" w:afterLines="100" w:line="240" w:lineRule="auto"/>
        <w:ind w:firstLine="600" w:firstLineChars="200"/>
        <w:jc w:val="center"/>
        <w:rPr>
          <w:rFonts w:ascii="Courier New" w:hAnsi="Courier New" w:eastAsia="华文中宋"/>
          <w:b w:val="0"/>
          <w:kern w:val="2"/>
          <w:sz w:val="30"/>
          <w:szCs w:val="32"/>
          <w:lang w:val="zh-CN"/>
        </w:rPr>
      </w:pPr>
      <w:bookmarkStart w:id="574" w:name="_Toc29022"/>
      <w:bookmarkStart w:id="575" w:name="_Toc6279"/>
      <w:bookmarkStart w:id="576" w:name="_Toc176307342"/>
      <w:bookmarkStart w:id="577" w:name="_Toc977137363"/>
      <w:bookmarkStart w:id="578" w:name="_Toc110431141"/>
      <w:bookmarkStart w:id="579" w:name="_Toc700894672"/>
      <w:bookmarkStart w:id="580" w:name="_Toc1507873699"/>
      <w:bookmarkStart w:id="581" w:name="_Toc15734"/>
      <w:bookmarkStart w:id="582" w:name="_Toc970185877"/>
      <w:r>
        <w:rPr>
          <w:rFonts w:hint="eastAsia" w:ascii="Courier New" w:hAnsi="Courier New" w:eastAsia="华文中宋"/>
          <w:bCs w:val="0"/>
          <w:kern w:val="2"/>
          <w:sz w:val="30"/>
          <w:szCs w:val="32"/>
          <w:lang w:val="zh-CN"/>
        </w:rPr>
        <w:t>第四部分</w:t>
      </w:r>
      <w:r>
        <w:rPr>
          <w:rFonts w:hint="eastAsia" w:ascii="Courier New" w:hAnsi="Courier New" w:eastAsia="华文中宋"/>
          <w:bCs w:val="0"/>
          <w:kern w:val="2"/>
          <w:sz w:val="30"/>
          <w:szCs w:val="32"/>
          <w:lang w:val="en-US" w:eastAsia="zh-CN"/>
        </w:rPr>
        <w:t xml:space="preserve"> </w:t>
      </w:r>
      <w:r>
        <w:rPr>
          <w:rFonts w:hint="eastAsia" w:ascii="Courier New" w:hAnsi="Courier New" w:eastAsia="华文中宋"/>
          <w:bCs w:val="0"/>
          <w:kern w:val="2"/>
          <w:sz w:val="30"/>
          <w:szCs w:val="32"/>
          <w:lang w:val="zh-CN"/>
        </w:rPr>
        <w:t>政府性债务及保险资金投资债券</w:t>
      </w:r>
      <w:bookmarkEnd w:id="574"/>
      <w:bookmarkEnd w:id="575"/>
      <w:bookmarkEnd w:id="576"/>
      <w:bookmarkEnd w:id="577"/>
      <w:bookmarkEnd w:id="578"/>
      <w:bookmarkEnd w:id="579"/>
      <w:bookmarkEnd w:id="580"/>
      <w:bookmarkEnd w:id="581"/>
      <w:bookmarkEnd w:id="582"/>
    </w:p>
    <w:p>
      <w:pPr>
        <w:pStyle w:val="4"/>
        <w:ind w:firstLine="602"/>
        <w:rPr>
          <w:rFonts w:ascii="仿宋_GB2312" w:hAnsi="仿宋_GB2312" w:cs="仿宋_GB2312"/>
          <w:bCs w:val="0"/>
          <w:szCs w:val="22"/>
        </w:rPr>
      </w:pPr>
      <w:bookmarkStart w:id="583" w:name="_Toc18127"/>
      <w:bookmarkStart w:id="584" w:name="_Toc1625686288"/>
      <w:bookmarkStart w:id="585" w:name="_Toc32385"/>
      <w:bookmarkStart w:id="586" w:name="_Toc1242366944"/>
      <w:bookmarkStart w:id="587" w:name="_Toc846271080"/>
      <w:bookmarkStart w:id="588" w:name="_Toc1849833184"/>
      <w:bookmarkStart w:id="589" w:name="_Toc524930547"/>
      <w:bookmarkStart w:id="590" w:name="_Toc110431154"/>
      <w:bookmarkStart w:id="591" w:name="_Toc32009"/>
      <w:r>
        <w:rPr>
          <w:rFonts w:hint="eastAsia" w:ascii="仿宋_GB2312" w:hAnsi="仿宋_GB2312" w:cs="仿宋_GB2312"/>
          <w:bCs w:val="0"/>
          <w:szCs w:val="22"/>
        </w:rPr>
        <w:t>（一）</w:t>
      </w:r>
      <w:bookmarkStart w:id="592" w:name="_Hlk14262789"/>
      <w:r>
        <w:rPr>
          <w:rFonts w:hint="eastAsia" w:ascii="仿宋_GB2312" w:hAnsi="仿宋_GB2312" w:cs="仿宋_GB2312"/>
          <w:bCs w:val="0"/>
          <w:szCs w:val="22"/>
        </w:rPr>
        <w:t>政府性债务</w:t>
      </w:r>
      <w:bookmarkEnd w:id="583"/>
      <w:bookmarkEnd w:id="584"/>
      <w:bookmarkEnd w:id="585"/>
      <w:bookmarkEnd w:id="586"/>
      <w:bookmarkEnd w:id="587"/>
      <w:bookmarkEnd w:id="588"/>
      <w:bookmarkEnd w:id="589"/>
      <w:bookmarkEnd w:id="590"/>
      <w:bookmarkEnd w:id="591"/>
      <w:bookmarkEnd w:id="592"/>
    </w:p>
    <w:p>
      <w:pPr>
        <w:pStyle w:val="4"/>
        <w:ind w:firstLine="602"/>
        <w:rPr>
          <w:rFonts w:ascii="仿宋_GB2312" w:hAnsi="仿宋_GB2312" w:cs="仿宋_GB2312"/>
          <w:bCs w:val="0"/>
          <w:szCs w:val="22"/>
        </w:rPr>
      </w:pPr>
      <w:bookmarkStart w:id="593" w:name="_Toc6462"/>
      <w:bookmarkStart w:id="594" w:name="_Toc816594062"/>
      <w:bookmarkStart w:id="595" w:name="_Toc4502"/>
      <w:bookmarkStart w:id="596" w:name="_Toc1779888749"/>
      <w:bookmarkStart w:id="597" w:name="_Toc110431155"/>
      <w:bookmarkStart w:id="598" w:name="_Toc824806236"/>
      <w:bookmarkStart w:id="599" w:name="_Toc2062618350"/>
      <w:bookmarkStart w:id="600" w:name="_Toc1263"/>
      <w:bookmarkStart w:id="601" w:name="_Toc1419336780"/>
      <w:r>
        <w:rPr>
          <w:rFonts w:hint="eastAsia" w:ascii="仿宋_GB2312" w:hAnsi="仿宋_GB2312" w:cs="仿宋_GB2312"/>
          <w:bCs w:val="0"/>
          <w:szCs w:val="22"/>
        </w:rPr>
        <w:t>1.《国务院关于加强地方政府性债务管理的意见》（2014年9月21日公布并施行）</w:t>
      </w:r>
      <w:bookmarkEnd w:id="593"/>
      <w:bookmarkEnd w:id="594"/>
      <w:bookmarkEnd w:id="595"/>
      <w:bookmarkEnd w:id="596"/>
      <w:bookmarkEnd w:id="597"/>
      <w:bookmarkEnd w:id="598"/>
      <w:bookmarkEnd w:id="599"/>
      <w:bookmarkEnd w:id="600"/>
      <w:bookmarkEnd w:id="601"/>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了解加强地方政府性债务管理的总体要求；了解规范地方政府举债融资机制相关内容；熟悉地方政府举债程序及信用评级制度相关要求；了解地方政府性债务的风险预警机制。</w:t>
      </w:r>
    </w:p>
    <w:p>
      <w:pPr>
        <w:pStyle w:val="4"/>
        <w:ind w:firstLine="602"/>
        <w:rPr>
          <w:rFonts w:ascii="仿宋_GB2312" w:hAnsi="仿宋_GB2312" w:cs="仿宋_GB2312"/>
          <w:bCs w:val="0"/>
          <w:szCs w:val="22"/>
        </w:rPr>
      </w:pPr>
      <w:bookmarkStart w:id="602" w:name="_Toc600899853"/>
      <w:bookmarkStart w:id="603" w:name="_Toc243361356"/>
      <w:bookmarkStart w:id="604" w:name="_Toc2116344474"/>
      <w:bookmarkStart w:id="605" w:name="_Toc30487"/>
      <w:bookmarkStart w:id="606" w:name="_Toc22942"/>
      <w:bookmarkStart w:id="607" w:name="_Toc6169"/>
      <w:bookmarkStart w:id="608" w:name="_Toc110431159"/>
      <w:bookmarkStart w:id="609" w:name="_Toc888093722"/>
      <w:bookmarkStart w:id="610" w:name="_Toc1567652656"/>
      <w:r>
        <w:rPr>
          <w:rFonts w:hint="eastAsia" w:ascii="仿宋_GB2312" w:hAnsi="仿宋_GB2312" w:cs="仿宋_GB2312"/>
          <w:bCs w:val="0"/>
          <w:szCs w:val="22"/>
        </w:rPr>
        <w:t>2.《关于进一步规范地方政府举债融资行为的通知》（2017年4月26日公布并施行）</w:t>
      </w:r>
      <w:bookmarkEnd w:id="602"/>
      <w:bookmarkEnd w:id="603"/>
      <w:bookmarkEnd w:id="604"/>
      <w:bookmarkEnd w:id="605"/>
      <w:bookmarkEnd w:id="606"/>
      <w:bookmarkEnd w:id="607"/>
      <w:bookmarkEnd w:id="608"/>
      <w:bookmarkEnd w:id="609"/>
      <w:bookmarkEnd w:id="610"/>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了解加强融资平台公司融资管理的措施；熟悉规范政府与社会资本方合作行为的要求；掌握规范地方政府举债融资机制的规定。</w:t>
      </w:r>
    </w:p>
    <w:p>
      <w:pPr>
        <w:pStyle w:val="4"/>
        <w:ind w:firstLine="602"/>
        <w:rPr>
          <w:rFonts w:ascii="仿宋_GB2312" w:hAnsi="仿宋_GB2312" w:cs="仿宋_GB2312"/>
          <w:bCs w:val="0"/>
          <w:szCs w:val="22"/>
        </w:rPr>
      </w:pPr>
      <w:bookmarkStart w:id="611" w:name="_Toc453005348"/>
      <w:bookmarkStart w:id="612" w:name="_Toc5062"/>
      <w:bookmarkStart w:id="613" w:name="_Toc1380859670"/>
      <w:bookmarkStart w:id="614" w:name="_Toc23478088"/>
      <w:bookmarkStart w:id="615" w:name="_Toc862"/>
      <w:bookmarkStart w:id="616" w:name="_Toc517439165"/>
      <w:bookmarkStart w:id="617" w:name="_Toc1814516568"/>
      <w:r>
        <w:rPr>
          <w:rFonts w:hint="eastAsia" w:ascii="仿宋_GB2312" w:hAnsi="仿宋_GB2312" w:cs="仿宋_GB2312"/>
          <w:bCs w:val="0"/>
          <w:szCs w:val="22"/>
        </w:rPr>
        <w:t>3.《地方政府债券信用评级管理暂行办法》（2021年1月20日公布，2021年3月1日起施行）</w:t>
      </w:r>
      <w:bookmarkEnd w:id="611"/>
      <w:bookmarkEnd w:id="612"/>
      <w:bookmarkEnd w:id="613"/>
      <w:bookmarkEnd w:id="614"/>
      <w:bookmarkEnd w:id="615"/>
      <w:bookmarkEnd w:id="616"/>
      <w:bookmarkEnd w:id="617"/>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熟悉地方财政部门选择信用评级机构的相关要求；掌握信用评级的工作程序；掌握信用评级机构对地方政府一般债券、专项债券信用评级应当重点关注的方面。</w:t>
      </w:r>
    </w:p>
    <w:p>
      <w:pPr>
        <w:pStyle w:val="4"/>
        <w:ind w:firstLine="602"/>
        <w:rPr>
          <w:rFonts w:ascii="仿宋_GB2312" w:hAnsi="仿宋_GB2312" w:cs="仿宋_GB2312"/>
          <w:bCs w:val="0"/>
          <w:szCs w:val="22"/>
        </w:rPr>
      </w:pPr>
      <w:bookmarkStart w:id="618" w:name="_Toc1342194468"/>
      <w:bookmarkStart w:id="619" w:name="_Toc1459036079"/>
      <w:bookmarkStart w:id="620" w:name="_Toc9197"/>
      <w:bookmarkStart w:id="621" w:name="_Toc1321791626"/>
      <w:bookmarkStart w:id="622" w:name="_Toc14347"/>
      <w:bookmarkStart w:id="623" w:name="_Toc2130901121"/>
      <w:bookmarkStart w:id="624" w:name="_Toc567191533"/>
      <w:r>
        <w:rPr>
          <w:rFonts w:hint="eastAsia" w:ascii="仿宋_GB2312" w:hAnsi="仿宋_GB2312" w:cs="仿宋_GB2312"/>
          <w:bCs w:val="0"/>
          <w:szCs w:val="22"/>
        </w:rPr>
        <w:t>4.《地方政府债券发行管理办法》（2020年12月9日公布，2021年1月1日起施行）</w:t>
      </w:r>
      <w:bookmarkEnd w:id="618"/>
      <w:bookmarkEnd w:id="619"/>
      <w:bookmarkEnd w:id="620"/>
      <w:bookmarkEnd w:id="621"/>
      <w:bookmarkEnd w:id="622"/>
      <w:bookmarkEnd w:id="623"/>
      <w:bookmarkEnd w:id="624"/>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了解地方政府债券的定义和分类；熟悉地方政府债券发行额度和期限的规定；熟悉地方政府债券信用评级和信息披露的相关要求。</w:t>
      </w:r>
    </w:p>
    <w:p>
      <w:pPr>
        <w:pStyle w:val="3"/>
        <w:ind w:firstLine="602"/>
        <w:rPr>
          <w:rFonts w:ascii="宋体" w:hAnsi="宋体"/>
          <w:szCs w:val="36"/>
        </w:rPr>
      </w:pPr>
      <w:bookmarkStart w:id="625" w:name="_Toc211771725"/>
      <w:bookmarkStart w:id="626" w:name="_Toc2285"/>
      <w:bookmarkStart w:id="627" w:name="_Toc109823271"/>
      <w:bookmarkStart w:id="628" w:name="_Toc64995358"/>
      <w:bookmarkStart w:id="629" w:name="_Toc110431161"/>
      <w:bookmarkStart w:id="630" w:name="_Toc1223596631"/>
      <w:bookmarkStart w:id="631" w:name="_Toc370245926"/>
      <w:bookmarkStart w:id="632" w:name="_Toc28359"/>
      <w:bookmarkStart w:id="633" w:name="_Toc32697"/>
      <w:r>
        <w:rPr>
          <w:rFonts w:hint="eastAsia" w:ascii="宋体" w:hAnsi="宋体"/>
          <w:szCs w:val="36"/>
        </w:rPr>
        <w:t>（二）保险资金投资债券</w:t>
      </w:r>
      <w:bookmarkEnd w:id="625"/>
      <w:bookmarkEnd w:id="626"/>
      <w:bookmarkEnd w:id="627"/>
      <w:bookmarkEnd w:id="628"/>
      <w:bookmarkEnd w:id="629"/>
      <w:bookmarkEnd w:id="630"/>
      <w:bookmarkEnd w:id="631"/>
      <w:bookmarkEnd w:id="632"/>
      <w:bookmarkEnd w:id="633"/>
    </w:p>
    <w:p>
      <w:pPr>
        <w:pStyle w:val="4"/>
        <w:ind w:firstLine="602"/>
        <w:rPr>
          <w:rFonts w:ascii="仿宋_GB2312" w:hAnsi="仿宋_GB2312" w:cs="仿宋_GB2312"/>
          <w:bCs w:val="0"/>
          <w:szCs w:val="22"/>
        </w:rPr>
      </w:pPr>
      <w:bookmarkStart w:id="634" w:name="_Toc1900447581"/>
      <w:bookmarkStart w:id="635" w:name="_Toc438629609"/>
      <w:bookmarkStart w:id="636" w:name="_Toc31774"/>
      <w:bookmarkStart w:id="637" w:name="_Toc2071595298"/>
      <w:bookmarkStart w:id="638" w:name="_Toc10221"/>
      <w:bookmarkStart w:id="639" w:name="_Toc110431163"/>
      <w:bookmarkStart w:id="640" w:name="_Toc967253298"/>
      <w:bookmarkStart w:id="641" w:name="_Toc6644"/>
      <w:bookmarkStart w:id="642" w:name="_Toc1559162185"/>
      <w:r>
        <w:rPr>
          <w:rFonts w:hint="eastAsia" w:ascii="仿宋_GB2312" w:hAnsi="仿宋_GB2312" w:cs="仿宋_GB2312"/>
          <w:bCs w:val="0"/>
          <w:szCs w:val="22"/>
        </w:rPr>
        <w:t>1.《保险资金投资债券暂行办法》（2012年7月16日公布并施行）</w:t>
      </w:r>
      <w:bookmarkEnd w:id="634"/>
      <w:bookmarkEnd w:id="635"/>
      <w:bookmarkEnd w:id="636"/>
      <w:bookmarkEnd w:id="637"/>
      <w:bookmarkEnd w:id="638"/>
      <w:bookmarkEnd w:id="639"/>
      <w:bookmarkEnd w:id="640"/>
      <w:bookmarkEnd w:id="641"/>
      <w:bookmarkEnd w:id="642"/>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保险公司投资债券应符合的条件；熟悉保险公司投资债券的种类及特定要求；了解保险公司对各类债券的投资总额和投资余额的规定；掌握对于运用内外部信用评级结果的相关规定；了解与保险公司投资债券相关的监督管理规定。</w:t>
      </w:r>
    </w:p>
    <w:p>
      <w:pPr>
        <w:pStyle w:val="4"/>
        <w:ind w:firstLine="602"/>
        <w:rPr>
          <w:rFonts w:ascii="仿宋_GB2312" w:hAnsi="仿宋_GB2312" w:cs="仿宋_GB2312"/>
          <w:bCs w:val="0"/>
          <w:szCs w:val="22"/>
        </w:rPr>
      </w:pPr>
      <w:bookmarkStart w:id="643" w:name="_Toc7505"/>
      <w:bookmarkStart w:id="644" w:name="_Toc1616585614"/>
      <w:bookmarkStart w:id="645" w:name="_Toc1300960734"/>
      <w:bookmarkStart w:id="646" w:name="_Toc9888"/>
      <w:bookmarkStart w:id="647" w:name="_Toc110431164"/>
      <w:bookmarkStart w:id="648" w:name="_Toc19235"/>
      <w:bookmarkStart w:id="649" w:name="_Toc1860013199"/>
      <w:bookmarkStart w:id="650" w:name="_Toc1325992083"/>
      <w:bookmarkStart w:id="651" w:name="_Toc1108102234"/>
      <w:r>
        <w:rPr>
          <w:rFonts w:hint="eastAsia" w:ascii="仿宋_GB2312" w:hAnsi="仿宋_GB2312" w:cs="仿宋_GB2312"/>
          <w:bCs w:val="0"/>
          <w:szCs w:val="22"/>
        </w:rPr>
        <w:t>2.《关于加强保险资金投资债券使用外部信用评级监管的通知》（2013年7月31日公布并施行）</w:t>
      </w:r>
      <w:bookmarkEnd w:id="643"/>
      <w:bookmarkEnd w:id="644"/>
      <w:bookmarkEnd w:id="645"/>
      <w:bookmarkEnd w:id="646"/>
      <w:bookmarkEnd w:id="647"/>
      <w:bookmarkEnd w:id="648"/>
      <w:bookmarkEnd w:id="649"/>
      <w:bookmarkEnd w:id="650"/>
      <w:bookmarkEnd w:id="651"/>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熟悉保险资金投资企业（公司）债券的外部信用评级机构应满足的条件；熟悉评级机构报送年度报告的内容；掌握对评级机构跟踪监测、定期检验的要求。</w:t>
      </w:r>
    </w:p>
    <w:p>
      <w:pPr>
        <w:pStyle w:val="4"/>
        <w:ind w:firstLine="602"/>
        <w:rPr>
          <w:rFonts w:ascii="仿宋_GB2312" w:hAnsi="仿宋_GB2312" w:cs="仿宋_GB2312"/>
          <w:bCs w:val="0"/>
          <w:szCs w:val="22"/>
        </w:rPr>
      </w:pPr>
      <w:bookmarkStart w:id="652" w:name="_Toc359927806"/>
      <w:bookmarkStart w:id="653" w:name="_Toc12368"/>
      <w:bookmarkStart w:id="654" w:name="_Toc1085156561"/>
      <w:bookmarkStart w:id="655" w:name="_Toc2020117430"/>
      <w:bookmarkStart w:id="656" w:name="_Toc328839550"/>
      <w:bookmarkStart w:id="657" w:name="_Toc13773"/>
      <w:bookmarkStart w:id="658" w:name="_Toc1033533802"/>
      <w:r>
        <w:rPr>
          <w:rFonts w:hint="eastAsia" w:ascii="仿宋_GB2312" w:hAnsi="仿宋_GB2312" w:cs="仿宋_GB2312"/>
          <w:bCs w:val="0"/>
          <w:szCs w:val="22"/>
        </w:rPr>
        <w:t>3.《中国银保监会办公厅关于调整保险资金投资债券信用评级要求等有关事项的通知》（2021年11月2日公布并施行）</w:t>
      </w:r>
      <w:bookmarkEnd w:id="652"/>
      <w:bookmarkEnd w:id="653"/>
      <w:bookmarkEnd w:id="654"/>
      <w:bookmarkEnd w:id="655"/>
      <w:bookmarkEnd w:id="656"/>
      <w:bookmarkEnd w:id="657"/>
      <w:bookmarkEnd w:id="658"/>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了解保险资金投资金融企业（公司）债券的相关要求；掌握保险资金投资非金融企业（公司）债券对其外部信用评级的具体要求；熟悉保险公司投资企业（公司）债券的相关规定。</w:t>
      </w:r>
    </w:p>
    <w:p>
      <w:pPr>
        <w:pStyle w:val="4"/>
        <w:ind w:firstLine="602"/>
        <w:rPr>
          <w:rFonts w:ascii="仿宋_GB2312" w:hAnsi="仿宋_GB2312" w:cs="仿宋_GB2312"/>
          <w:bCs w:val="0"/>
          <w:szCs w:val="22"/>
        </w:rPr>
      </w:pPr>
      <w:bookmarkStart w:id="659" w:name="_Toc609680768"/>
      <w:bookmarkStart w:id="660" w:name="_Toc75299493"/>
      <w:bookmarkStart w:id="661" w:name="_Toc1611771405"/>
      <w:bookmarkStart w:id="662" w:name="_Toc13460"/>
      <w:bookmarkStart w:id="663" w:name="_Toc42426826"/>
      <w:bookmarkStart w:id="664" w:name="_Toc110431165"/>
      <w:bookmarkStart w:id="665" w:name="_Toc1675888150"/>
      <w:bookmarkStart w:id="666" w:name="_Toc25556"/>
      <w:bookmarkStart w:id="667" w:name="_Toc7640"/>
      <w:r>
        <w:rPr>
          <w:rFonts w:hint="eastAsia" w:ascii="仿宋_GB2312" w:hAnsi="仿宋_GB2312" w:cs="仿宋_GB2312"/>
          <w:bCs w:val="0"/>
          <w:szCs w:val="22"/>
        </w:rPr>
        <w:t>4.《中国保险资产管理业协会信用评级机构自律规则（试行）》（2018年8月31日发布并施行）</w:t>
      </w:r>
      <w:bookmarkEnd w:id="659"/>
      <w:bookmarkEnd w:id="660"/>
      <w:bookmarkEnd w:id="661"/>
      <w:bookmarkEnd w:id="662"/>
      <w:bookmarkEnd w:id="663"/>
      <w:bookmarkEnd w:id="664"/>
      <w:bookmarkEnd w:id="665"/>
      <w:bookmarkEnd w:id="666"/>
      <w:bookmarkEnd w:id="667"/>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了解委托评级和主动评级的定义；掌握信用评级业务的相关规定；熟悉评级机构负责评级业务的高级管理人员应当具备的条件；了解评级机构人员避免利益冲突的要求；熟悉重大风险事件的范围。</w:t>
      </w:r>
    </w:p>
    <w:p>
      <w:pPr>
        <w:pStyle w:val="9"/>
        <w:ind w:firstLine="640" w:firstLineChars="200"/>
        <w:rPr>
          <w:rFonts w:ascii="Times New Roman" w:hAnsi="Times New Roman" w:eastAsia="仿宋_GB2312"/>
          <w:sz w:val="32"/>
          <w:szCs w:val="32"/>
          <w:u w:color="FFFFFF"/>
        </w:rPr>
      </w:pPr>
    </w:p>
    <w:p>
      <w:pPr>
        <w:autoSpaceDE w:val="0"/>
        <w:autoSpaceDN w:val="0"/>
        <w:adjustRightInd w:val="0"/>
        <w:spacing w:line="360" w:lineRule="auto"/>
        <w:ind w:firstLine="642" w:firstLineChars="200"/>
        <w:rPr>
          <w:rFonts w:ascii="仿宋_GB2312" w:hAnsi="仿宋_GB2312" w:eastAsia="仿宋_GB2312" w:cs="仿宋_GB2312"/>
          <w:sz w:val="32"/>
          <w:szCs w:val="32"/>
        </w:rPr>
      </w:pPr>
      <w:r>
        <w:rPr>
          <w:rFonts w:hint="eastAsia" w:ascii="Times New Roman" w:hAnsi="Times New Roman" w:eastAsia="仿宋_GB2312"/>
          <w:b/>
          <w:sz w:val="32"/>
          <w:szCs w:val="32"/>
        </w:rPr>
        <w:t>（测试涉及的以上法律、法规、规章、规范性文件、行业自律规则，如有修订，以修订版为准）</w:t>
      </w:r>
    </w:p>
    <w:p>
      <w:pPr>
        <w:jc w:val="left"/>
        <w:rPr>
          <w:rFonts w:ascii="仿宋_GB2312" w:eastAsia="仿宋_GB2312"/>
          <w:sz w:val="32"/>
          <w:szCs w:val="32"/>
        </w:rPr>
      </w:pPr>
    </w:p>
    <w:sectPr>
      <w:footerReference r:id="rId3"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LLAo7RAQAAhwMAAA4AAAAAAAAAAQAgAAAAHgEAAGRy&#10;cy9lMm9Eb2MueG1sUEsFBgAAAAAGAAYAWQEAAGEFA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hhYTE4ZGE4ODQxN2M3YmJmZjkzYjFmMTJkZDUzNWUifQ=="/>
  </w:docVars>
  <w:rsids>
    <w:rsidRoot w:val="006A3E79"/>
    <w:rsid w:val="0001163D"/>
    <w:rsid w:val="00023966"/>
    <w:rsid w:val="000268A7"/>
    <w:rsid w:val="00030E8F"/>
    <w:rsid w:val="00035BA7"/>
    <w:rsid w:val="000405B6"/>
    <w:rsid w:val="00045074"/>
    <w:rsid w:val="00046A34"/>
    <w:rsid w:val="0005387F"/>
    <w:rsid w:val="00065F3B"/>
    <w:rsid w:val="00071B93"/>
    <w:rsid w:val="00080D89"/>
    <w:rsid w:val="000C283B"/>
    <w:rsid w:val="000D6B56"/>
    <w:rsid w:val="000E5268"/>
    <w:rsid w:val="000E77E1"/>
    <w:rsid w:val="000E7B6E"/>
    <w:rsid w:val="000F135B"/>
    <w:rsid w:val="0011051D"/>
    <w:rsid w:val="00120FD4"/>
    <w:rsid w:val="001219B0"/>
    <w:rsid w:val="001250E2"/>
    <w:rsid w:val="00134A68"/>
    <w:rsid w:val="00135B23"/>
    <w:rsid w:val="00141DE0"/>
    <w:rsid w:val="0015314D"/>
    <w:rsid w:val="0018761E"/>
    <w:rsid w:val="001A68B7"/>
    <w:rsid w:val="001B7946"/>
    <w:rsid w:val="001D3783"/>
    <w:rsid w:val="001D7DC7"/>
    <w:rsid w:val="001E0091"/>
    <w:rsid w:val="001E4556"/>
    <w:rsid w:val="0020329D"/>
    <w:rsid w:val="00211CF1"/>
    <w:rsid w:val="00214497"/>
    <w:rsid w:val="00217818"/>
    <w:rsid w:val="0022009B"/>
    <w:rsid w:val="0022225D"/>
    <w:rsid w:val="00224F88"/>
    <w:rsid w:val="002272B4"/>
    <w:rsid w:val="00234695"/>
    <w:rsid w:val="002571BD"/>
    <w:rsid w:val="00257599"/>
    <w:rsid w:val="00265F7A"/>
    <w:rsid w:val="00273398"/>
    <w:rsid w:val="002928AD"/>
    <w:rsid w:val="002B2E4E"/>
    <w:rsid w:val="002B786B"/>
    <w:rsid w:val="002C2261"/>
    <w:rsid w:val="002C32E5"/>
    <w:rsid w:val="002C4673"/>
    <w:rsid w:val="002D5CB1"/>
    <w:rsid w:val="002F31E8"/>
    <w:rsid w:val="002F468B"/>
    <w:rsid w:val="00312B72"/>
    <w:rsid w:val="00320581"/>
    <w:rsid w:val="0033665A"/>
    <w:rsid w:val="00352D60"/>
    <w:rsid w:val="00354E3B"/>
    <w:rsid w:val="00376703"/>
    <w:rsid w:val="003934CF"/>
    <w:rsid w:val="003A142B"/>
    <w:rsid w:val="003A20C1"/>
    <w:rsid w:val="003A5708"/>
    <w:rsid w:val="003B14C8"/>
    <w:rsid w:val="003C0A72"/>
    <w:rsid w:val="003D2083"/>
    <w:rsid w:val="003D4C00"/>
    <w:rsid w:val="003D6F89"/>
    <w:rsid w:val="003E5292"/>
    <w:rsid w:val="003E6660"/>
    <w:rsid w:val="003E66D6"/>
    <w:rsid w:val="003F1740"/>
    <w:rsid w:val="003F5BC2"/>
    <w:rsid w:val="003F6231"/>
    <w:rsid w:val="00402980"/>
    <w:rsid w:val="0040483A"/>
    <w:rsid w:val="00407AC9"/>
    <w:rsid w:val="004171C9"/>
    <w:rsid w:val="00432BB7"/>
    <w:rsid w:val="00447675"/>
    <w:rsid w:val="00452AB5"/>
    <w:rsid w:val="0045436A"/>
    <w:rsid w:val="00467C4D"/>
    <w:rsid w:val="00471159"/>
    <w:rsid w:val="0047463C"/>
    <w:rsid w:val="004A128E"/>
    <w:rsid w:val="004A43F0"/>
    <w:rsid w:val="004B347A"/>
    <w:rsid w:val="004C6FDC"/>
    <w:rsid w:val="00520770"/>
    <w:rsid w:val="00521209"/>
    <w:rsid w:val="00536C66"/>
    <w:rsid w:val="005426D5"/>
    <w:rsid w:val="0055353B"/>
    <w:rsid w:val="00562EB7"/>
    <w:rsid w:val="00571A1E"/>
    <w:rsid w:val="00576D41"/>
    <w:rsid w:val="00593044"/>
    <w:rsid w:val="00597FDB"/>
    <w:rsid w:val="005A3814"/>
    <w:rsid w:val="005A53DB"/>
    <w:rsid w:val="005B4018"/>
    <w:rsid w:val="005B5137"/>
    <w:rsid w:val="005E211F"/>
    <w:rsid w:val="005E6F8B"/>
    <w:rsid w:val="005F2D09"/>
    <w:rsid w:val="00601039"/>
    <w:rsid w:val="00611273"/>
    <w:rsid w:val="00626288"/>
    <w:rsid w:val="0063456B"/>
    <w:rsid w:val="00653D29"/>
    <w:rsid w:val="00666942"/>
    <w:rsid w:val="0067198F"/>
    <w:rsid w:val="00674CC5"/>
    <w:rsid w:val="0067677E"/>
    <w:rsid w:val="006911AE"/>
    <w:rsid w:val="00692213"/>
    <w:rsid w:val="00693C95"/>
    <w:rsid w:val="00696983"/>
    <w:rsid w:val="006A08DD"/>
    <w:rsid w:val="006A2E7E"/>
    <w:rsid w:val="006A3E79"/>
    <w:rsid w:val="006A4754"/>
    <w:rsid w:val="006A5A66"/>
    <w:rsid w:val="006B6D2F"/>
    <w:rsid w:val="006C4E76"/>
    <w:rsid w:val="006C6625"/>
    <w:rsid w:val="006D253D"/>
    <w:rsid w:val="006E416C"/>
    <w:rsid w:val="006E55BF"/>
    <w:rsid w:val="006F5F3A"/>
    <w:rsid w:val="00714790"/>
    <w:rsid w:val="0073147F"/>
    <w:rsid w:val="007429C6"/>
    <w:rsid w:val="00743173"/>
    <w:rsid w:val="0074566D"/>
    <w:rsid w:val="007457E4"/>
    <w:rsid w:val="00762452"/>
    <w:rsid w:val="007A66F7"/>
    <w:rsid w:val="007B3E50"/>
    <w:rsid w:val="007C0CA0"/>
    <w:rsid w:val="007C22C7"/>
    <w:rsid w:val="007D429F"/>
    <w:rsid w:val="007E48FE"/>
    <w:rsid w:val="0082590C"/>
    <w:rsid w:val="008409BE"/>
    <w:rsid w:val="00850D63"/>
    <w:rsid w:val="008726F1"/>
    <w:rsid w:val="008748B5"/>
    <w:rsid w:val="0088220C"/>
    <w:rsid w:val="00882D1E"/>
    <w:rsid w:val="00896CD1"/>
    <w:rsid w:val="008A10FC"/>
    <w:rsid w:val="008A1F9E"/>
    <w:rsid w:val="008C0143"/>
    <w:rsid w:val="008C30BB"/>
    <w:rsid w:val="008C416E"/>
    <w:rsid w:val="008D409B"/>
    <w:rsid w:val="008E3B5C"/>
    <w:rsid w:val="008E3F66"/>
    <w:rsid w:val="008E740D"/>
    <w:rsid w:val="008F08CD"/>
    <w:rsid w:val="008F1B49"/>
    <w:rsid w:val="008F5BED"/>
    <w:rsid w:val="0090020A"/>
    <w:rsid w:val="00914A2C"/>
    <w:rsid w:val="0091581D"/>
    <w:rsid w:val="00917AA0"/>
    <w:rsid w:val="0092218A"/>
    <w:rsid w:val="009369FC"/>
    <w:rsid w:val="00941CC5"/>
    <w:rsid w:val="00941D42"/>
    <w:rsid w:val="00950503"/>
    <w:rsid w:val="00951E7C"/>
    <w:rsid w:val="00967094"/>
    <w:rsid w:val="009970DD"/>
    <w:rsid w:val="009A6D4F"/>
    <w:rsid w:val="009B4BE3"/>
    <w:rsid w:val="009C0FFB"/>
    <w:rsid w:val="009C1919"/>
    <w:rsid w:val="009C1F20"/>
    <w:rsid w:val="009D3FD1"/>
    <w:rsid w:val="009E1860"/>
    <w:rsid w:val="00A0141E"/>
    <w:rsid w:val="00A0489A"/>
    <w:rsid w:val="00A11B17"/>
    <w:rsid w:val="00A15CF4"/>
    <w:rsid w:val="00A270CB"/>
    <w:rsid w:val="00A41B9A"/>
    <w:rsid w:val="00A56B46"/>
    <w:rsid w:val="00A61D01"/>
    <w:rsid w:val="00A70965"/>
    <w:rsid w:val="00A807D7"/>
    <w:rsid w:val="00A95463"/>
    <w:rsid w:val="00A97B80"/>
    <w:rsid w:val="00AB0A57"/>
    <w:rsid w:val="00AB5634"/>
    <w:rsid w:val="00AD1B7E"/>
    <w:rsid w:val="00AD4D49"/>
    <w:rsid w:val="00AD52CE"/>
    <w:rsid w:val="00AE30C6"/>
    <w:rsid w:val="00B01E2F"/>
    <w:rsid w:val="00B30C34"/>
    <w:rsid w:val="00B54D2A"/>
    <w:rsid w:val="00B5662B"/>
    <w:rsid w:val="00B6554E"/>
    <w:rsid w:val="00B67C1D"/>
    <w:rsid w:val="00B724AC"/>
    <w:rsid w:val="00B76278"/>
    <w:rsid w:val="00B83D86"/>
    <w:rsid w:val="00BC4470"/>
    <w:rsid w:val="00BE2C9B"/>
    <w:rsid w:val="00BE5BC4"/>
    <w:rsid w:val="00C070D9"/>
    <w:rsid w:val="00C66393"/>
    <w:rsid w:val="00C663A4"/>
    <w:rsid w:val="00C865D1"/>
    <w:rsid w:val="00C87FDC"/>
    <w:rsid w:val="00CA65E9"/>
    <w:rsid w:val="00CA7864"/>
    <w:rsid w:val="00CC1D5F"/>
    <w:rsid w:val="00CC459F"/>
    <w:rsid w:val="00CD31C1"/>
    <w:rsid w:val="00CD5AA7"/>
    <w:rsid w:val="00CD5EDC"/>
    <w:rsid w:val="00CE0013"/>
    <w:rsid w:val="00CE7A21"/>
    <w:rsid w:val="00CF4E14"/>
    <w:rsid w:val="00D039E0"/>
    <w:rsid w:val="00D279BC"/>
    <w:rsid w:val="00D32EFA"/>
    <w:rsid w:val="00D54D3F"/>
    <w:rsid w:val="00D6490F"/>
    <w:rsid w:val="00D65A8E"/>
    <w:rsid w:val="00D82683"/>
    <w:rsid w:val="00D8313B"/>
    <w:rsid w:val="00D85824"/>
    <w:rsid w:val="00DA6CED"/>
    <w:rsid w:val="00DB7D9F"/>
    <w:rsid w:val="00DD0904"/>
    <w:rsid w:val="00DD3D20"/>
    <w:rsid w:val="00DE0ED7"/>
    <w:rsid w:val="00DE4259"/>
    <w:rsid w:val="00DF7AC6"/>
    <w:rsid w:val="00E11178"/>
    <w:rsid w:val="00E236D0"/>
    <w:rsid w:val="00E512F1"/>
    <w:rsid w:val="00E5388A"/>
    <w:rsid w:val="00E86188"/>
    <w:rsid w:val="00ED0509"/>
    <w:rsid w:val="00ED4C97"/>
    <w:rsid w:val="00ED6EAD"/>
    <w:rsid w:val="00EE4BE9"/>
    <w:rsid w:val="00EF140C"/>
    <w:rsid w:val="00EF4E68"/>
    <w:rsid w:val="00EF4EB4"/>
    <w:rsid w:val="00EF650D"/>
    <w:rsid w:val="00F75A30"/>
    <w:rsid w:val="00F76962"/>
    <w:rsid w:val="00F773F3"/>
    <w:rsid w:val="00F836D1"/>
    <w:rsid w:val="00F93455"/>
    <w:rsid w:val="00F94B2A"/>
    <w:rsid w:val="00FA3044"/>
    <w:rsid w:val="00FA3DC0"/>
    <w:rsid w:val="00FD2620"/>
    <w:rsid w:val="00FD6B5D"/>
    <w:rsid w:val="02741C45"/>
    <w:rsid w:val="03361CBB"/>
    <w:rsid w:val="053D60CE"/>
    <w:rsid w:val="055814C4"/>
    <w:rsid w:val="05F54596"/>
    <w:rsid w:val="06A92B76"/>
    <w:rsid w:val="0C3A6FB3"/>
    <w:rsid w:val="0D6A518B"/>
    <w:rsid w:val="0F6131D7"/>
    <w:rsid w:val="11A66120"/>
    <w:rsid w:val="14241564"/>
    <w:rsid w:val="14BD2B31"/>
    <w:rsid w:val="15477FF6"/>
    <w:rsid w:val="16F92B49"/>
    <w:rsid w:val="189A1BFB"/>
    <w:rsid w:val="1C1C2E4C"/>
    <w:rsid w:val="1F6E96CF"/>
    <w:rsid w:val="20106195"/>
    <w:rsid w:val="20732D09"/>
    <w:rsid w:val="21305A45"/>
    <w:rsid w:val="21CE412E"/>
    <w:rsid w:val="23511C4E"/>
    <w:rsid w:val="26BA3640"/>
    <w:rsid w:val="27D26644"/>
    <w:rsid w:val="28443270"/>
    <w:rsid w:val="2CC44A34"/>
    <w:rsid w:val="2EAB665F"/>
    <w:rsid w:val="33E10F3D"/>
    <w:rsid w:val="347C67EF"/>
    <w:rsid w:val="37FEFD53"/>
    <w:rsid w:val="38F946BE"/>
    <w:rsid w:val="3A59110D"/>
    <w:rsid w:val="3AF57A13"/>
    <w:rsid w:val="3D21098F"/>
    <w:rsid w:val="3EFFC3D1"/>
    <w:rsid w:val="400D7B59"/>
    <w:rsid w:val="4078224D"/>
    <w:rsid w:val="444464C2"/>
    <w:rsid w:val="44B34E7A"/>
    <w:rsid w:val="46385CA8"/>
    <w:rsid w:val="48BD6634"/>
    <w:rsid w:val="495C5608"/>
    <w:rsid w:val="4AE58FE0"/>
    <w:rsid w:val="4AEB0FCC"/>
    <w:rsid w:val="4CDA25CA"/>
    <w:rsid w:val="4E426CCC"/>
    <w:rsid w:val="504005BB"/>
    <w:rsid w:val="50563A82"/>
    <w:rsid w:val="51D17263"/>
    <w:rsid w:val="5439670E"/>
    <w:rsid w:val="54F40280"/>
    <w:rsid w:val="578F127F"/>
    <w:rsid w:val="58E224CD"/>
    <w:rsid w:val="59F36A4D"/>
    <w:rsid w:val="5A5E0091"/>
    <w:rsid w:val="5AB23419"/>
    <w:rsid w:val="5B356886"/>
    <w:rsid w:val="5BAF179E"/>
    <w:rsid w:val="5E3F7213"/>
    <w:rsid w:val="5E8D6D0F"/>
    <w:rsid w:val="5F677F48"/>
    <w:rsid w:val="5FBA833C"/>
    <w:rsid w:val="5FEF23AE"/>
    <w:rsid w:val="624B5632"/>
    <w:rsid w:val="62DDEE0A"/>
    <w:rsid w:val="66F11474"/>
    <w:rsid w:val="695B4A0D"/>
    <w:rsid w:val="6A7376F9"/>
    <w:rsid w:val="6AC039E8"/>
    <w:rsid w:val="6B4152D2"/>
    <w:rsid w:val="6B6F5052"/>
    <w:rsid w:val="6C180BDC"/>
    <w:rsid w:val="6C2C71FB"/>
    <w:rsid w:val="6DFBAC43"/>
    <w:rsid w:val="6EC4366D"/>
    <w:rsid w:val="6F690DC2"/>
    <w:rsid w:val="6FEA2315"/>
    <w:rsid w:val="6FEE551F"/>
    <w:rsid w:val="708D6B90"/>
    <w:rsid w:val="71151694"/>
    <w:rsid w:val="71B9C1A9"/>
    <w:rsid w:val="73475A36"/>
    <w:rsid w:val="73CCB9FC"/>
    <w:rsid w:val="78EB1046"/>
    <w:rsid w:val="7BEE35A8"/>
    <w:rsid w:val="7C453FB3"/>
    <w:rsid w:val="7EFE2454"/>
    <w:rsid w:val="7F3EB5CA"/>
    <w:rsid w:val="7FB7AB1C"/>
    <w:rsid w:val="7FF74782"/>
    <w:rsid w:val="7FFE9A71"/>
    <w:rsid w:val="AA77C69A"/>
    <w:rsid w:val="B67BCA7A"/>
    <w:rsid w:val="B8FF7190"/>
    <w:rsid w:val="BAB520BD"/>
    <w:rsid w:val="BBEB3F59"/>
    <w:rsid w:val="BBFF4C3A"/>
    <w:rsid w:val="BD777E23"/>
    <w:rsid w:val="BDFF6FC6"/>
    <w:rsid w:val="BECEC022"/>
    <w:rsid w:val="BFAF352C"/>
    <w:rsid w:val="BFB55428"/>
    <w:rsid w:val="BFDB60BF"/>
    <w:rsid w:val="CFBD8653"/>
    <w:rsid w:val="D3C7FF1C"/>
    <w:rsid w:val="D3D7FED5"/>
    <w:rsid w:val="D51FE5A5"/>
    <w:rsid w:val="DF3F92F7"/>
    <w:rsid w:val="DF9FE959"/>
    <w:rsid w:val="DFFF8C26"/>
    <w:rsid w:val="E7FEB5A4"/>
    <w:rsid w:val="F8FEFC2C"/>
    <w:rsid w:val="FBBFC070"/>
    <w:rsid w:val="FBEE20E9"/>
    <w:rsid w:val="FDFD5E8A"/>
    <w:rsid w:val="FDFF4E55"/>
    <w:rsid w:val="FE63776B"/>
    <w:rsid w:val="FFEBAAE7"/>
    <w:rsid w:val="FFEF74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40"/>
    <w:qFormat/>
    <w:uiPriority w:val="9"/>
    <w:pPr>
      <w:keepNext/>
      <w:keepLines/>
      <w:spacing w:line="360" w:lineRule="auto"/>
      <w:ind w:firstLine="880" w:firstLineChars="200"/>
      <w:outlineLvl w:val="1"/>
    </w:pPr>
    <w:rPr>
      <w:rFonts w:ascii="Cambria" w:hAnsi="Cambria" w:eastAsia="仿宋_GB2312"/>
      <w:b/>
      <w:bCs/>
      <w:kern w:val="0"/>
      <w:sz w:val="30"/>
      <w:szCs w:val="32"/>
    </w:rPr>
  </w:style>
  <w:style w:type="paragraph" w:styleId="4">
    <w:name w:val="heading 3"/>
    <w:basedOn w:val="1"/>
    <w:next w:val="5"/>
    <w:link w:val="30"/>
    <w:qFormat/>
    <w:uiPriority w:val="9"/>
    <w:pPr>
      <w:keepNext/>
      <w:keepLines/>
      <w:spacing w:line="360" w:lineRule="auto"/>
      <w:ind w:firstLine="880" w:firstLineChars="200"/>
      <w:outlineLvl w:val="2"/>
    </w:pPr>
    <w:rPr>
      <w:rFonts w:eastAsia="仿宋_GB2312"/>
      <w:b/>
      <w:bCs/>
      <w:sz w:val="30"/>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toc 7"/>
    <w:basedOn w:val="1"/>
    <w:next w:val="1"/>
    <w:unhideWhenUsed/>
    <w:qFormat/>
    <w:uiPriority w:val="39"/>
    <w:pPr>
      <w:ind w:left="1260"/>
      <w:jc w:val="left"/>
    </w:pPr>
    <w:rPr>
      <w:rFonts w:asciiTheme="minorHAnsi" w:hAnsiTheme="minorHAnsi"/>
      <w:sz w:val="18"/>
      <w:szCs w:val="18"/>
    </w:rPr>
  </w:style>
  <w:style w:type="paragraph" w:styleId="7">
    <w:name w:val="Document Map"/>
    <w:basedOn w:val="1"/>
    <w:link w:val="32"/>
    <w:unhideWhenUsed/>
    <w:qFormat/>
    <w:uiPriority w:val="99"/>
    <w:rPr>
      <w:rFonts w:ascii="宋体" w:hAnsi="Times New Roman"/>
      <w:kern w:val="0"/>
      <w:sz w:val="18"/>
      <w:szCs w:val="18"/>
    </w:rPr>
  </w:style>
  <w:style w:type="paragraph" w:styleId="8">
    <w:name w:val="annotation text"/>
    <w:basedOn w:val="1"/>
    <w:link w:val="43"/>
    <w:unhideWhenUsed/>
    <w:qFormat/>
    <w:uiPriority w:val="99"/>
    <w:pPr>
      <w:jc w:val="left"/>
    </w:pPr>
    <w:rPr>
      <w:rFonts w:ascii="Times New Roman" w:hAnsi="Times New Roman"/>
      <w:kern w:val="0"/>
      <w:sz w:val="20"/>
      <w:szCs w:val="24"/>
    </w:rPr>
  </w:style>
  <w:style w:type="paragraph" w:styleId="9">
    <w:name w:val="Body Text"/>
    <w:basedOn w:val="1"/>
    <w:link w:val="36"/>
    <w:qFormat/>
    <w:uiPriority w:val="0"/>
    <w:rPr>
      <w:rFonts w:ascii="宋体" w:hAnsi="宋体"/>
      <w:kern w:val="0"/>
      <w:sz w:val="30"/>
      <w:szCs w:val="24"/>
    </w:rPr>
  </w:style>
  <w:style w:type="paragraph" w:styleId="10">
    <w:name w:val="toc 5"/>
    <w:basedOn w:val="1"/>
    <w:next w:val="1"/>
    <w:unhideWhenUsed/>
    <w:qFormat/>
    <w:uiPriority w:val="39"/>
    <w:pPr>
      <w:ind w:left="840"/>
      <w:jc w:val="left"/>
    </w:pPr>
    <w:rPr>
      <w:rFonts w:asciiTheme="minorHAnsi" w:hAnsiTheme="minorHAnsi"/>
      <w:sz w:val="18"/>
      <w:szCs w:val="18"/>
    </w:rPr>
  </w:style>
  <w:style w:type="paragraph" w:styleId="11">
    <w:name w:val="toc 3"/>
    <w:basedOn w:val="1"/>
    <w:next w:val="1"/>
    <w:unhideWhenUsed/>
    <w:qFormat/>
    <w:uiPriority w:val="39"/>
    <w:pPr>
      <w:ind w:left="420"/>
      <w:jc w:val="left"/>
    </w:pPr>
    <w:rPr>
      <w:rFonts w:asciiTheme="minorHAnsi" w:hAnsiTheme="minorHAnsi"/>
      <w:i/>
      <w:iCs/>
      <w:sz w:val="20"/>
      <w:szCs w:val="20"/>
    </w:rPr>
  </w:style>
  <w:style w:type="paragraph" w:styleId="12">
    <w:name w:val="toc 8"/>
    <w:basedOn w:val="1"/>
    <w:next w:val="1"/>
    <w:unhideWhenUsed/>
    <w:qFormat/>
    <w:uiPriority w:val="39"/>
    <w:pPr>
      <w:ind w:left="1470"/>
      <w:jc w:val="left"/>
    </w:pPr>
    <w:rPr>
      <w:rFonts w:asciiTheme="minorHAnsi" w:hAnsiTheme="minorHAnsi"/>
      <w:sz w:val="18"/>
      <w:szCs w:val="18"/>
    </w:rPr>
  </w:style>
  <w:style w:type="paragraph" w:styleId="13">
    <w:name w:val="Balloon Text"/>
    <w:basedOn w:val="1"/>
    <w:link w:val="44"/>
    <w:unhideWhenUsed/>
    <w:qFormat/>
    <w:uiPriority w:val="99"/>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heme="minorHAnsi" w:hAnsiTheme="minorHAnsi"/>
      <w:b/>
      <w:bCs/>
      <w:caps/>
      <w:sz w:val="20"/>
      <w:szCs w:val="20"/>
    </w:rPr>
  </w:style>
  <w:style w:type="paragraph" w:styleId="17">
    <w:name w:val="toc 4"/>
    <w:basedOn w:val="1"/>
    <w:next w:val="1"/>
    <w:unhideWhenUsed/>
    <w:qFormat/>
    <w:uiPriority w:val="39"/>
    <w:pPr>
      <w:ind w:left="630"/>
      <w:jc w:val="left"/>
    </w:pPr>
    <w:rPr>
      <w:rFonts w:asciiTheme="minorHAnsi" w:hAnsiTheme="minorHAnsi"/>
      <w:sz w:val="18"/>
      <w:szCs w:val="18"/>
    </w:rPr>
  </w:style>
  <w:style w:type="paragraph" w:styleId="18">
    <w:name w:val="toc 6"/>
    <w:basedOn w:val="1"/>
    <w:next w:val="1"/>
    <w:unhideWhenUsed/>
    <w:qFormat/>
    <w:uiPriority w:val="39"/>
    <w:pPr>
      <w:ind w:left="1050"/>
      <w:jc w:val="left"/>
    </w:pPr>
    <w:rPr>
      <w:rFonts w:asciiTheme="minorHAnsi" w:hAnsiTheme="minorHAnsi"/>
      <w:sz w:val="18"/>
      <w:szCs w:val="18"/>
    </w:rPr>
  </w:style>
  <w:style w:type="paragraph" w:styleId="19">
    <w:name w:val="toc 2"/>
    <w:basedOn w:val="1"/>
    <w:next w:val="1"/>
    <w:qFormat/>
    <w:uiPriority w:val="39"/>
    <w:pPr>
      <w:ind w:left="210"/>
      <w:jc w:val="left"/>
    </w:pPr>
    <w:rPr>
      <w:rFonts w:asciiTheme="minorHAnsi" w:hAnsiTheme="minorHAnsi"/>
      <w:smallCaps/>
      <w:sz w:val="20"/>
      <w:szCs w:val="20"/>
    </w:rPr>
  </w:style>
  <w:style w:type="paragraph" w:styleId="20">
    <w:name w:val="toc 9"/>
    <w:basedOn w:val="1"/>
    <w:next w:val="1"/>
    <w:unhideWhenUsed/>
    <w:qFormat/>
    <w:uiPriority w:val="39"/>
    <w:pPr>
      <w:ind w:left="1680"/>
      <w:jc w:val="left"/>
    </w:pPr>
    <w:rPr>
      <w:rFonts w:asciiTheme="minorHAnsi" w:hAnsiTheme="minorHAnsi"/>
      <w:sz w:val="18"/>
      <w:szCs w:val="18"/>
    </w:rPr>
  </w:style>
  <w:style w:type="paragraph" w:styleId="21">
    <w:name w:val="Title"/>
    <w:basedOn w:val="1"/>
    <w:next w:val="1"/>
    <w:link w:val="49"/>
    <w:qFormat/>
    <w:uiPriority w:val="0"/>
    <w:pPr>
      <w:spacing w:before="240" w:after="60"/>
      <w:jc w:val="center"/>
      <w:outlineLvl w:val="0"/>
    </w:pPr>
    <w:rPr>
      <w:rFonts w:asciiTheme="majorHAnsi" w:hAnsiTheme="majorHAnsi" w:cstheme="majorBidi"/>
      <w:b/>
      <w:bCs/>
      <w:sz w:val="32"/>
      <w:szCs w:val="32"/>
    </w:rPr>
  </w:style>
  <w:style w:type="paragraph" w:styleId="22">
    <w:name w:val="annotation subject"/>
    <w:basedOn w:val="8"/>
    <w:next w:val="8"/>
    <w:link w:val="37"/>
    <w:unhideWhenUsed/>
    <w:qFormat/>
    <w:uiPriority w:val="99"/>
    <w:rPr>
      <w:b/>
      <w:bCs/>
    </w:rPr>
  </w:style>
  <w:style w:type="character" w:styleId="25">
    <w:name w:val="Strong"/>
    <w:basedOn w:val="24"/>
    <w:qFormat/>
    <w:uiPriority w:val="22"/>
    <w:rPr>
      <w:b/>
      <w:bCs/>
    </w:rPr>
  </w:style>
  <w:style w:type="character" w:styleId="26">
    <w:name w:val="Hyperlink"/>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标题 1 Char"/>
    <w:qFormat/>
    <w:uiPriority w:val="0"/>
    <w:rPr>
      <w:rFonts w:ascii="Calibri" w:hAnsi="Calibri"/>
      <w:b/>
      <w:bCs/>
      <w:kern w:val="44"/>
      <w:sz w:val="44"/>
      <w:szCs w:val="44"/>
    </w:rPr>
  </w:style>
  <w:style w:type="character" w:customStyle="1" w:styleId="29">
    <w:name w:val="标题 2 Char"/>
    <w:semiHidden/>
    <w:qFormat/>
    <w:uiPriority w:val="0"/>
    <w:rPr>
      <w:rFonts w:ascii="Cambria" w:hAnsi="Cambria" w:eastAsia="宋体" w:cs="Times New Roman"/>
      <w:b/>
      <w:bCs/>
      <w:kern w:val="2"/>
      <w:sz w:val="32"/>
      <w:szCs w:val="32"/>
    </w:rPr>
  </w:style>
  <w:style w:type="character" w:customStyle="1" w:styleId="30">
    <w:name w:val="标题 3 Char"/>
    <w:basedOn w:val="24"/>
    <w:link w:val="4"/>
    <w:semiHidden/>
    <w:qFormat/>
    <w:uiPriority w:val="0"/>
    <w:rPr>
      <w:rFonts w:ascii="Calibri" w:hAnsi="Calibri" w:eastAsia="仿宋_GB2312"/>
      <w:b/>
      <w:bCs/>
      <w:kern w:val="2"/>
      <w:sz w:val="30"/>
      <w:szCs w:val="32"/>
    </w:rPr>
  </w:style>
  <w:style w:type="character" w:customStyle="1" w:styleId="31">
    <w:name w:val="正文文本 Char"/>
    <w:qFormat/>
    <w:uiPriority w:val="0"/>
    <w:rPr>
      <w:rFonts w:ascii="Calibri" w:hAnsi="Calibri"/>
      <w:kern w:val="2"/>
      <w:sz w:val="21"/>
      <w:szCs w:val="22"/>
    </w:rPr>
  </w:style>
  <w:style w:type="character" w:customStyle="1" w:styleId="32">
    <w:name w:val="文档结构图 Char1"/>
    <w:link w:val="7"/>
    <w:qFormat/>
    <w:uiPriority w:val="99"/>
    <w:rPr>
      <w:rFonts w:ascii="宋体"/>
      <w:sz w:val="18"/>
      <w:szCs w:val="18"/>
    </w:rPr>
  </w:style>
  <w:style w:type="character" w:customStyle="1" w:styleId="33">
    <w:name w:val="标题 1 Char1"/>
    <w:link w:val="2"/>
    <w:qFormat/>
    <w:uiPriority w:val="9"/>
    <w:rPr>
      <w:b/>
      <w:bCs/>
      <w:kern w:val="44"/>
      <w:sz w:val="44"/>
      <w:szCs w:val="44"/>
    </w:rPr>
  </w:style>
  <w:style w:type="character" w:customStyle="1" w:styleId="34">
    <w:name w:val="未处理的提及"/>
    <w:unhideWhenUsed/>
    <w:qFormat/>
    <w:uiPriority w:val="99"/>
    <w:rPr>
      <w:color w:val="605E5C"/>
      <w:shd w:val="clear" w:color="auto" w:fill="E1DFDD"/>
    </w:rPr>
  </w:style>
  <w:style w:type="character" w:customStyle="1" w:styleId="35">
    <w:name w:val="批注框文本 Char"/>
    <w:qFormat/>
    <w:uiPriority w:val="0"/>
    <w:rPr>
      <w:rFonts w:ascii="Calibri" w:hAnsi="Calibri"/>
      <w:kern w:val="2"/>
      <w:sz w:val="18"/>
      <w:szCs w:val="18"/>
    </w:rPr>
  </w:style>
  <w:style w:type="character" w:customStyle="1" w:styleId="36">
    <w:name w:val="正文文本 Char1"/>
    <w:link w:val="9"/>
    <w:qFormat/>
    <w:uiPriority w:val="0"/>
    <w:rPr>
      <w:rFonts w:ascii="宋体" w:hAnsi="宋体"/>
      <w:sz w:val="30"/>
      <w:szCs w:val="24"/>
    </w:rPr>
  </w:style>
  <w:style w:type="character" w:customStyle="1" w:styleId="37">
    <w:name w:val="批注主题 Char1"/>
    <w:link w:val="22"/>
    <w:qFormat/>
    <w:uiPriority w:val="99"/>
    <w:rPr>
      <w:b/>
      <w:bCs/>
      <w:szCs w:val="24"/>
    </w:rPr>
  </w:style>
  <w:style w:type="character" w:customStyle="1" w:styleId="38">
    <w:name w:val="页脚 Char"/>
    <w:link w:val="14"/>
    <w:qFormat/>
    <w:uiPriority w:val="99"/>
    <w:rPr>
      <w:rFonts w:ascii="Calibri" w:hAnsi="Calibri"/>
      <w:kern w:val="2"/>
      <w:sz w:val="18"/>
      <w:szCs w:val="18"/>
    </w:rPr>
  </w:style>
  <w:style w:type="character" w:customStyle="1" w:styleId="39">
    <w:name w:val="页眉 Char"/>
    <w:link w:val="15"/>
    <w:qFormat/>
    <w:uiPriority w:val="99"/>
    <w:rPr>
      <w:rFonts w:ascii="Calibri" w:hAnsi="Calibri"/>
      <w:kern w:val="2"/>
      <w:sz w:val="18"/>
      <w:szCs w:val="18"/>
    </w:rPr>
  </w:style>
  <w:style w:type="character" w:customStyle="1" w:styleId="40">
    <w:name w:val="标题 2 Char1"/>
    <w:link w:val="3"/>
    <w:qFormat/>
    <w:uiPriority w:val="9"/>
    <w:rPr>
      <w:rFonts w:ascii="Cambria" w:hAnsi="Cambria" w:eastAsia="仿宋_GB2312"/>
      <w:b/>
      <w:bCs/>
      <w:sz w:val="30"/>
      <w:szCs w:val="32"/>
    </w:rPr>
  </w:style>
  <w:style w:type="character" w:customStyle="1" w:styleId="41">
    <w:name w:val="批注主题 Char"/>
    <w:qFormat/>
    <w:uiPriority w:val="0"/>
    <w:rPr>
      <w:rFonts w:ascii="Calibri" w:hAnsi="Calibri"/>
      <w:b/>
      <w:bCs/>
      <w:kern w:val="2"/>
      <w:sz w:val="21"/>
      <w:szCs w:val="22"/>
    </w:rPr>
  </w:style>
  <w:style w:type="character" w:customStyle="1" w:styleId="42">
    <w:name w:val="文档结构图 Char"/>
    <w:qFormat/>
    <w:uiPriority w:val="0"/>
    <w:rPr>
      <w:rFonts w:ascii="宋体" w:hAnsi="Calibri"/>
      <w:kern w:val="2"/>
      <w:sz w:val="18"/>
      <w:szCs w:val="18"/>
    </w:rPr>
  </w:style>
  <w:style w:type="character" w:customStyle="1" w:styleId="43">
    <w:name w:val="批注文字 Char1"/>
    <w:link w:val="8"/>
    <w:qFormat/>
    <w:uiPriority w:val="99"/>
    <w:rPr>
      <w:szCs w:val="24"/>
    </w:rPr>
  </w:style>
  <w:style w:type="character" w:customStyle="1" w:styleId="44">
    <w:name w:val="批注框文本 Char1"/>
    <w:link w:val="13"/>
    <w:qFormat/>
    <w:uiPriority w:val="99"/>
    <w:rPr>
      <w:sz w:val="18"/>
      <w:szCs w:val="18"/>
    </w:rPr>
  </w:style>
  <w:style w:type="character" w:customStyle="1" w:styleId="45">
    <w:name w:val="批注文字 Char"/>
    <w:qFormat/>
    <w:uiPriority w:val="0"/>
    <w:rPr>
      <w:rFonts w:ascii="Calibri" w:hAnsi="Calibri"/>
      <w:kern w:val="2"/>
      <w:sz w:val="21"/>
      <w:szCs w:val="22"/>
    </w:rPr>
  </w:style>
  <w:style w:type="paragraph" w:customStyle="1" w:styleId="46">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4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8">
    <w:name w:val="修订1"/>
    <w:hidden/>
    <w:unhideWhenUsed/>
    <w:qFormat/>
    <w:uiPriority w:val="99"/>
    <w:rPr>
      <w:rFonts w:ascii="Calibri" w:hAnsi="Calibri" w:eastAsia="宋体" w:cs="Times New Roman"/>
      <w:kern w:val="2"/>
      <w:sz w:val="21"/>
      <w:szCs w:val="22"/>
      <w:lang w:val="en-US" w:eastAsia="zh-CN" w:bidi="ar-SA"/>
    </w:rPr>
  </w:style>
  <w:style w:type="character" w:customStyle="1" w:styleId="49">
    <w:name w:val="标题 Char"/>
    <w:basedOn w:val="24"/>
    <w:link w:val="21"/>
    <w:qFormat/>
    <w:uiPriority w:val="0"/>
    <w:rPr>
      <w:rFonts w:asciiTheme="majorHAnsi" w:hAnsiTheme="majorHAnsi" w:cstheme="majorBidi"/>
      <w:b/>
      <w:bCs/>
      <w:kern w:val="2"/>
      <w:sz w:val="32"/>
      <w:szCs w:val="32"/>
    </w:rPr>
  </w:style>
  <w:style w:type="character" w:customStyle="1" w:styleId="50">
    <w:name w:val="标题 1 Char2"/>
    <w:basedOn w:val="24"/>
    <w:link w:val="2"/>
    <w:qFormat/>
    <w:uiPriority w:val="0"/>
    <w:rPr>
      <w:rFonts w:hint="eastAsia" w:ascii="仿宋_GB2312" w:eastAsia="仿宋_GB2312" w:cs="仿宋_GB2312"/>
      <w:b/>
      <w:bCs/>
    </w:rPr>
  </w:style>
  <w:style w:type="character" w:customStyle="1" w:styleId="51">
    <w:name w:val="font01"/>
    <w:basedOn w:val="24"/>
    <w:qFormat/>
    <w:uiPriority w:val="0"/>
    <w:rPr>
      <w:rFonts w:hint="eastAsia" w:ascii="宋体" w:hAnsi="宋体" w:eastAsia="宋体" w:cs="宋体"/>
      <w:b/>
      <w:color w:val="000000"/>
      <w:sz w:val="22"/>
      <w:szCs w:val="22"/>
      <w:u w:val="none"/>
    </w:rPr>
  </w:style>
  <w:style w:type="character" w:customStyle="1" w:styleId="52">
    <w:name w:val="font1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33</Pages>
  <Words>3411</Words>
  <Characters>19443</Characters>
  <Lines>162</Lines>
  <Paragraphs>45</Paragraphs>
  <TotalTime>309</TotalTime>
  <ScaleCrop>false</ScaleCrop>
  <LinksUpToDate>false</LinksUpToDate>
  <CharactersWithSpaces>22809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2022-10-11T06:21:00Z</dcterms:created>
  <dc:creator>袁熙</dc:creator>
  <cp:lastModifiedBy> </cp:lastModifiedBy>
  <cp:lastPrinted>2024-07-18T23:49:00Z</cp:lastPrinted>
  <dcterms:modified xsi:type="dcterms:W3CDTF">2024-09-30T09:09:41Z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66588B1A8D9544E1B792A7F3D44DE820</vt:lpwstr>
  </property>
</Properties>
</file>