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jc w:val="left"/>
        <w:rPr>
          <w:rFonts w:ascii="仿宋_GB2312" w:hAnsi="Times New Roman" w:eastAsia="仿宋_GB2312"/>
          <w:bCs/>
          <w:sz w:val="30"/>
          <w:szCs w:val="30"/>
        </w:rPr>
      </w:pPr>
    </w:p>
    <w:p>
      <w:pPr>
        <w:jc w:val="center"/>
        <w:rPr>
          <w:rFonts w:ascii="方正小标宋简体" w:hAnsi="黑体" w:eastAsia="方正小标宋简体"/>
          <w:b/>
          <w:sz w:val="44"/>
          <w:szCs w:val="44"/>
        </w:rPr>
      </w:pPr>
    </w:p>
    <w:p>
      <w:pPr>
        <w:jc w:val="center"/>
        <w:rPr>
          <w:rFonts w:hint="eastAsia" w:ascii="方正小标宋简体" w:hAnsi="黑体" w:eastAsia="方正小标宋简体"/>
          <w:b/>
          <w:sz w:val="44"/>
          <w:szCs w:val="44"/>
        </w:rPr>
      </w:pPr>
      <w:r>
        <w:rPr>
          <w:rFonts w:hint="eastAsia" w:ascii="方正小标宋简体" w:hAnsi="黑体" w:eastAsia="方正小标宋简体"/>
          <w:b/>
          <w:sz w:val="44"/>
          <w:szCs w:val="44"/>
        </w:rPr>
        <w:t>证券公司高级管理人员水平评价测试大纲（</w:t>
      </w:r>
      <w:r>
        <w:rPr>
          <w:rFonts w:hint="eastAsia" w:ascii="方正小标宋简体" w:hAnsi="黑体" w:eastAsia="方正小标宋简体"/>
          <w:b/>
          <w:sz w:val="44"/>
          <w:szCs w:val="44"/>
          <w:lang w:val="en-US" w:eastAsia="zh-CN"/>
        </w:rPr>
        <w:t>2024</w:t>
      </w:r>
      <w:r>
        <w:rPr>
          <w:rFonts w:hint="eastAsia" w:ascii="方正小标宋简体" w:hAnsi="黑体" w:eastAsia="方正小标宋简体"/>
          <w:b/>
          <w:sz w:val="44"/>
          <w:szCs w:val="44"/>
        </w:rPr>
        <w:t>）</w:t>
      </w: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Times New Roman" w:hAnsi="Times New Roman" w:eastAsia="华文中宋"/>
          <w:sz w:val="44"/>
          <w:szCs w:val="44"/>
        </w:rPr>
      </w:pP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中国证券业</w:t>
      </w:r>
      <w:bookmarkStart w:id="854" w:name="_GoBack"/>
      <w:bookmarkEnd w:id="854"/>
      <w:r>
        <w:rPr>
          <w:rFonts w:hint="eastAsia" w:ascii="方正小标宋简体" w:hAnsi="黑体" w:eastAsia="方正小标宋简体"/>
          <w:sz w:val="44"/>
          <w:szCs w:val="44"/>
        </w:rPr>
        <w:t>协会</w:t>
      </w:r>
    </w:p>
    <w:p>
      <w:pPr>
        <w:jc w:val="center"/>
        <w:rPr>
          <w:rFonts w:ascii="方正小标宋简体" w:hAnsi="黑体" w:eastAsia="方正小标宋简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ascii="方正小标宋简体" w:hAnsi="黑体" w:eastAsia="方正小标宋简体"/>
          <w:sz w:val="44"/>
          <w:szCs w:val="44"/>
        </w:rPr>
        <w:t>2024年</w:t>
      </w:r>
      <w:r>
        <w:rPr>
          <w:rFonts w:hint="default" w:ascii="方正小标宋简体" w:hAnsi="黑体" w:eastAsia="方正小标宋简体"/>
          <w:sz w:val="44"/>
          <w:szCs w:val="44"/>
          <w:lang w:val="en" w:eastAsia="zh-CN"/>
        </w:rPr>
        <w:t>9</w:t>
      </w:r>
      <w:r>
        <w:rPr>
          <w:rFonts w:hint="eastAsia" w:ascii="方正小标宋简体" w:hAnsi="黑体" w:eastAsia="方正小标宋简体"/>
          <w:sz w:val="44"/>
          <w:szCs w:val="44"/>
        </w:rPr>
        <w:t>月</w:t>
      </w:r>
    </w:p>
    <w:p>
      <w:pPr>
        <w:pStyle w:val="2"/>
        <w:spacing w:beforeLines="50" w:afterLines="50"/>
        <w:rPr>
          <w:rFonts w:hint="default" w:ascii="华文中宋" w:hAnsi="华文中宋" w:cs="仿宋_GB2312"/>
          <w:sz w:val="44"/>
          <w:szCs w:val="44"/>
        </w:rPr>
      </w:pPr>
      <w:bookmarkStart w:id="0" w:name="_Toc2309"/>
      <w:bookmarkStart w:id="1" w:name="_Toc26350"/>
      <w:bookmarkStart w:id="2" w:name="_Toc855894663"/>
      <w:bookmarkStart w:id="3" w:name="_Toc18922"/>
      <w:bookmarkStart w:id="4" w:name="_Toc109809348"/>
      <w:bookmarkStart w:id="5" w:name="_Toc105066915"/>
      <w:bookmarkStart w:id="6" w:name="_Toc28675"/>
      <w:bookmarkStart w:id="7" w:name="_Toc8652"/>
      <w:bookmarkStart w:id="8" w:name="_Toc2003"/>
      <w:bookmarkStart w:id="9" w:name="_Toc16100"/>
      <w:bookmarkStart w:id="10" w:name="_Toc14929"/>
      <w:bookmarkStart w:id="11" w:name="_Toc1644500689"/>
      <w:bookmarkStart w:id="12" w:name="_Toc13606"/>
      <w:bookmarkStart w:id="13" w:name="_Toc1888421618"/>
      <w:r>
        <w:rPr>
          <w:rFonts w:ascii="华文中宋" w:hAnsi="华文中宋" w:cs="仿宋_GB2312"/>
          <w:sz w:val="44"/>
          <w:szCs w:val="44"/>
        </w:rPr>
        <w:t>目  录</w:t>
      </w:r>
      <w:bookmarkEnd w:id="0"/>
      <w:bookmarkEnd w:id="1"/>
      <w:bookmarkEnd w:id="2"/>
      <w:bookmarkEnd w:id="3"/>
      <w:bookmarkEnd w:id="4"/>
      <w:bookmarkEnd w:id="5"/>
      <w:bookmarkEnd w:id="6"/>
      <w:bookmarkEnd w:id="7"/>
      <w:bookmarkEnd w:id="8"/>
      <w:bookmarkEnd w:id="9"/>
      <w:bookmarkEnd w:id="10"/>
      <w:bookmarkEnd w:id="11"/>
      <w:bookmarkEnd w:id="12"/>
      <w:bookmarkEnd w:id="13"/>
    </w:p>
    <w:p>
      <w:pPr>
        <w:pStyle w:val="15"/>
        <w:tabs>
          <w:tab w:val="right" w:leader="dot" w:pos="8306"/>
        </w:tabs>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"1-3" \h \u </w:instrText>
      </w:r>
      <w:r>
        <w:rPr>
          <w:rFonts w:hint="eastAsia" w:asciiTheme="minorEastAsia" w:hAnsiTheme="minorEastAsia" w:eastAsiaTheme="minorEastAsia" w:cstheme="minorEastAsia"/>
          <w:sz w:val="24"/>
          <w:szCs w:val="24"/>
        </w:rPr>
        <w:fldChar w:fldCharType="separate"/>
      </w:r>
    </w:p>
    <w:p>
      <w:pPr>
        <w:pStyle w:val="15"/>
        <w:tabs>
          <w:tab w:val="right" w:leader="dot" w:pos="8306"/>
        </w:tabs>
        <w:spacing w:line="360" w:lineRule="auto"/>
        <w:rPr>
          <w:b/>
          <w:bCs/>
          <w:sz w:val="24"/>
          <w:szCs w:val="24"/>
        </w:rPr>
      </w:pPr>
      <w:r>
        <w:fldChar w:fldCharType="begin"/>
      </w:r>
      <w:r>
        <w:instrText xml:space="preserve"> HYPERLINK \l "_Toc1122298416" </w:instrText>
      </w:r>
      <w:r>
        <w:fldChar w:fldCharType="separate"/>
      </w:r>
      <w:r>
        <w:rPr>
          <w:rFonts w:hint="eastAsia"/>
          <w:b/>
          <w:bCs/>
          <w:sz w:val="24"/>
          <w:szCs w:val="24"/>
          <w:lang w:val="zh-CN"/>
        </w:rPr>
        <w:t>第一部分 综合类</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_Toc1122298416 </w:instrText>
      </w:r>
      <w:r>
        <w:rPr>
          <w:rFonts w:hint="eastAsia"/>
          <w:b/>
          <w:bCs/>
          <w:sz w:val="24"/>
          <w:szCs w:val="24"/>
        </w:rPr>
        <w:fldChar w:fldCharType="separate"/>
      </w:r>
      <w:r>
        <w:rPr>
          <w:rFonts w:hint="eastAsia"/>
          <w:b/>
          <w:bCs/>
          <w:sz w:val="24"/>
          <w:szCs w:val="24"/>
        </w:rPr>
        <w:t>1</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"_Toc341076334" </w:instrText>
      </w:r>
      <w:r>
        <w:fldChar w:fldCharType="separate"/>
      </w:r>
      <w:r>
        <w:rPr>
          <w:rFonts w:hint="eastAsia"/>
          <w:b/>
          <w:bCs/>
          <w:sz w:val="24"/>
          <w:szCs w:val="24"/>
        </w:rPr>
        <w:t>（一）党中央、国务院重大决策部署</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_Toc341076334 </w:instrText>
      </w:r>
      <w:r>
        <w:rPr>
          <w:rFonts w:hint="eastAsia"/>
          <w:b/>
          <w:bCs/>
          <w:sz w:val="24"/>
          <w:szCs w:val="24"/>
        </w:rPr>
        <w:fldChar w:fldCharType="separate"/>
      </w:r>
      <w:r>
        <w:rPr>
          <w:rFonts w:hint="eastAsia"/>
          <w:b/>
          <w:bCs/>
          <w:sz w:val="24"/>
          <w:szCs w:val="24"/>
        </w:rPr>
        <w:t>1</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"_Toc257332805" </w:instrText>
      </w:r>
      <w:r>
        <w:fldChar w:fldCharType="separate"/>
      </w:r>
      <w:r>
        <w:rPr>
          <w:rFonts w:hint="eastAsia"/>
          <w:sz w:val="24"/>
          <w:szCs w:val="24"/>
        </w:rPr>
        <w:t xml:space="preserve">1. </w:t>
      </w:r>
      <w:r>
        <w:rPr>
          <w:rFonts w:hint="eastAsia"/>
          <w:sz w:val="24"/>
          <w:szCs w:val="24"/>
          <w:lang w:val="en-US" w:eastAsia="zh-CN"/>
        </w:rPr>
        <w:t xml:space="preserve"> </w:t>
      </w:r>
      <w:r>
        <w:rPr>
          <w:rFonts w:hint="eastAsia"/>
          <w:sz w:val="24"/>
          <w:szCs w:val="24"/>
        </w:rPr>
        <w:t>习近平</w:t>
      </w:r>
      <w:r>
        <w:rPr>
          <w:rFonts w:hint="eastAsia"/>
          <w:sz w:val="24"/>
          <w:szCs w:val="24"/>
          <w:lang w:eastAsia="zh-CN"/>
        </w:rPr>
        <w:t>总书记</w:t>
      </w:r>
      <w:r>
        <w:rPr>
          <w:rFonts w:hint="eastAsia"/>
          <w:sz w:val="24"/>
          <w:szCs w:val="24"/>
        </w:rPr>
        <w:t>关于金融工作的重要论述</w:t>
      </w:r>
      <w:r>
        <w:rPr>
          <w:rFonts w:hint="eastAsia"/>
          <w:sz w:val="24"/>
          <w:szCs w:val="24"/>
        </w:rPr>
        <w:tab/>
      </w:r>
      <w:r>
        <w:rPr>
          <w:rFonts w:hint="eastAsia"/>
          <w:sz w:val="24"/>
          <w:szCs w:val="24"/>
        </w:rPr>
        <w:fldChar w:fldCharType="begin"/>
      </w:r>
      <w:r>
        <w:rPr>
          <w:rFonts w:hint="eastAsia"/>
          <w:sz w:val="24"/>
          <w:szCs w:val="24"/>
        </w:rPr>
        <w:instrText xml:space="preserve"> PAGEREF _Toc257332805 </w:instrText>
      </w:r>
      <w:r>
        <w:rPr>
          <w:rFonts w:hint="eastAsia"/>
          <w:sz w:val="24"/>
          <w:szCs w:val="24"/>
        </w:rPr>
        <w:fldChar w:fldCharType="separate"/>
      </w:r>
      <w:r>
        <w:rPr>
          <w:rFonts w:hint="eastAsia"/>
          <w:sz w:val="24"/>
          <w:szCs w:val="24"/>
        </w:rPr>
        <w:t>1</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"_Toc1132977094" </w:instrText>
      </w:r>
      <w:r>
        <w:fldChar w:fldCharType="separate"/>
      </w:r>
      <w:r>
        <w:rPr>
          <w:rFonts w:hint="eastAsia"/>
          <w:sz w:val="24"/>
          <w:szCs w:val="24"/>
        </w:rPr>
        <w:t>2</w:t>
      </w:r>
      <w:r>
        <w:rPr>
          <w:rFonts w:hint="eastAsia"/>
          <w:sz w:val="24"/>
          <w:szCs w:val="24"/>
          <w:lang w:val="zh-CN"/>
        </w:rPr>
        <w:t>.</w:t>
      </w:r>
      <w:r>
        <w:rPr>
          <w:rFonts w:hint="eastAsia"/>
          <w:sz w:val="24"/>
          <w:szCs w:val="24"/>
          <w:lang w:val="en-US" w:eastAsia="zh-CN"/>
        </w:rPr>
        <w:t xml:space="preserve"> </w:t>
      </w:r>
      <w:r>
        <w:rPr>
          <w:rFonts w:hint="eastAsia"/>
          <w:sz w:val="24"/>
          <w:szCs w:val="24"/>
          <w:lang w:val="zh-CN"/>
        </w:rPr>
        <w:t>《国务院关于加强监管防范风险推动资本市场高质量发展的若干意见》</w:t>
      </w:r>
      <w:r>
        <w:rPr>
          <w:rFonts w:hint="eastAsia"/>
          <w:sz w:val="24"/>
          <w:szCs w:val="24"/>
        </w:rPr>
        <w:tab/>
      </w:r>
      <w:r>
        <w:rPr>
          <w:rFonts w:hint="eastAsia"/>
          <w:sz w:val="24"/>
          <w:szCs w:val="24"/>
        </w:rPr>
        <w:fldChar w:fldCharType="begin"/>
      </w:r>
      <w:r>
        <w:rPr>
          <w:rFonts w:hint="eastAsia"/>
          <w:sz w:val="24"/>
          <w:szCs w:val="24"/>
        </w:rPr>
        <w:instrText xml:space="preserve"> PAGEREF _Toc1132977094 </w:instrText>
      </w:r>
      <w:r>
        <w:rPr>
          <w:rFonts w:hint="eastAsia"/>
          <w:sz w:val="24"/>
          <w:szCs w:val="24"/>
        </w:rPr>
        <w:fldChar w:fldCharType="separate"/>
      </w:r>
      <w:r>
        <w:rPr>
          <w:rFonts w:hint="eastAsia"/>
          <w:sz w:val="24"/>
          <w:szCs w:val="24"/>
        </w:rPr>
        <w:t>1</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"_Toc1303225130" </w:instrText>
      </w:r>
      <w:r>
        <w:fldChar w:fldCharType="separate"/>
      </w:r>
      <w:r>
        <w:rPr>
          <w:rFonts w:hint="eastAsia"/>
          <w:sz w:val="24"/>
          <w:szCs w:val="24"/>
        </w:rPr>
        <w:t xml:space="preserve">3. </w:t>
      </w:r>
      <w:r>
        <w:rPr>
          <w:rFonts w:hint="eastAsia"/>
          <w:sz w:val="24"/>
          <w:szCs w:val="24"/>
          <w:lang w:val="zh-CN"/>
        </w:rPr>
        <w:t>《关于依法从严打击证券违法活动的意见》</w:t>
      </w:r>
      <w:r>
        <w:rPr>
          <w:rFonts w:hint="eastAsia"/>
          <w:sz w:val="24"/>
          <w:szCs w:val="24"/>
        </w:rPr>
        <w:tab/>
      </w:r>
      <w:r>
        <w:rPr>
          <w:rFonts w:hint="eastAsia"/>
          <w:sz w:val="24"/>
          <w:szCs w:val="24"/>
        </w:rPr>
        <w:fldChar w:fldCharType="begin"/>
      </w:r>
      <w:r>
        <w:rPr>
          <w:rFonts w:hint="eastAsia"/>
          <w:sz w:val="24"/>
          <w:szCs w:val="24"/>
        </w:rPr>
        <w:instrText xml:space="preserve"> PAGEREF _Toc1303225130 </w:instrText>
      </w:r>
      <w:r>
        <w:rPr>
          <w:rFonts w:hint="eastAsia"/>
          <w:sz w:val="24"/>
          <w:szCs w:val="24"/>
        </w:rPr>
        <w:fldChar w:fldCharType="separate"/>
      </w:r>
      <w:r>
        <w:rPr>
          <w:rFonts w:hint="eastAsia"/>
          <w:sz w:val="24"/>
          <w:szCs w:val="24"/>
        </w:rPr>
        <w:t>2</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b/>
          <w:bCs/>
          <w:sz w:val="24"/>
          <w:szCs w:val="24"/>
        </w:rPr>
      </w:pPr>
      <w:r>
        <w:fldChar w:fldCharType="begin"/>
      </w:r>
      <w:r>
        <w:instrText xml:space="preserve"> HYPERLINK \l "_Toc757658035" </w:instrText>
      </w:r>
      <w:r>
        <w:fldChar w:fldCharType="separate"/>
      </w:r>
      <w:r>
        <w:rPr>
          <w:rFonts w:hint="eastAsia"/>
          <w:b/>
          <w:bCs/>
          <w:sz w:val="24"/>
          <w:szCs w:val="24"/>
        </w:rPr>
        <w:t>（二）法律</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_Toc757658035 </w:instrText>
      </w:r>
      <w:r>
        <w:rPr>
          <w:rFonts w:hint="eastAsia"/>
          <w:b/>
          <w:bCs/>
          <w:sz w:val="24"/>
          <w:szCs w:val="24"/>
        </w:rPr>
        <w:fldChar w:fldCharType="separate"/>
      </w:r>
      <w:r>
        <w:rPr>
          <w:rFonts w:hint="eastAsia"/>
          <w:b/>
          <w:bCs/>
          <w:sz w:val="24"/>
          <w:szCs w:val="24"/>
        </w:rPr>
        <w:t>2</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"_Toc671974278" </w:instrText>
      </w:r>
      <w:r>
        <w:fldChar w:fldCharType="separate"/>
      </w:r>
      <w:r>
        <w:rPr>
          <w:rFonts w:hint="eastAsia"/>
          <w:sz w:val="24"/>
          <w:szCs w:val="24"/>
        </w:rPr>
        <w:t>1．《中华人民共和国公司法》</w:t>
      </w:r>
      <w:r>
        <w:rPr>
          <w:rFonts w:hint="eastAsia"/>
          <w:sz w:val="24"/>
          <w:szCs w:val="24"/>
        </w:rPr>
        <w:tab/>
      </w:r>
      <w:r>
        <w:rPr>
          <w:rFonts w:hint="eastAsia"/>
          <w:sz w:val="24"/>
          <w:szCs w:val="24"/>
        </w:rPr>
        <w:fldChar w:fldCharType="begin"/>
      </w:r>
      <w:r>
        <w:rPr>
          <w:rFonts w:hint="eastAsia"/>
          <w:sz w:val="24"/>
          <w:szCs w:val="24"/>
        </w:rPr>
        <w:instrText xml:space="preserve"> PAGEREF _Toc671974278 </w:instrText>
      </w:r>
      <w:r>
        <w:rPr>
          <w:rFonts w:hint="eastAsia"/>
          <w:sz w:val="24"/>
          <w:szCs w:val="24"/>
        </w:rPr>
        <w:fldChar w:fldCharType="separate"/>
      </w:r>
      <w:r>
        <w:rPr>
          <w:rFonts w:hint="eastAsia"/>
          <w:sz w:val="24"/>
          <w:szCs w:val="24"/>
        </w:rPr>
        <w:t>2</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"_Toc413064432" </w:instrText>
      </w:r>
      <w:r>
        <w:fldChar w:fldCharType="separate"/>
      </w:r>
      <w:r>
        <w:rPr>
          <w:rFonts w:hint="eastAsia"/>
          <w:sz w:val="24"/>
          <w:szCs w:val="24"/>
        </w:rPr>
        <w:t>2．《中华人民共和国证券法》</w:t>
      </w:r>
      <w:r>
        <w:rPr>
          <w:rFonts w:hint="eastAsia"/>
          <w:sz w:val="24"/>
          <w:szCs w:val="24"/>
        </w:rPr>
        <w:tab/>
      </w:r>
      <w:r>
        <w:rPr>
          <w:rFonts w:hint="eastAsia"/>
          <w:sz w:val="24"/>
          <w:szCs w:val="24"/>
        </w:rPr>
        <w:fldChar w:fldCharType="begin"/>
      </w:r>
      <w:r>
        <w:rPr>
          <w:rFonts w:hint="eastAsia"/>
          <w:sz w:val="24"/>
          <w:szCs w:val="24"/>
        </w:rPr>
        <w:instrText xml:space="preserve"> PAGEREF _Toc413064432 </w:instrText>
      </w:r>
      <w:r>
        <w:rPr>
          <w:rFonts w:hint="eastAsia"/>
          <w:sz w:val="24"/>
          <w:szCs w:val="24"/>
        </w:rPr>
        <w:fldChar w:fldCharType="separate"/>
      </w:r>
      <w:r>
        <w:rPr>
          <w:rFonts w:hint="eastAsia"/>
          <w:sz w:val="24"/>
          <w:szCs w:val="24"/>
        </w:rPr>
        <w:t>2</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"_Toc1085039805" </w:instrText>
      </w:r>
      <w:r>
        <w:fldChar w:fldCharType="separate"/>
      </w:r>
      <w:r>
        <w:rPr>
          <w:rFonts w:hint="eastAsia"/>
          <w:sz w:val="24"/>
          <w:szCs w:val="24"/>
        </w:rPr>
        <w:t>3．《中华人民共和国民法典》关于合同、担保物权的相关规定</w:t>
      </w:r>
      <w:r>
        <w:rPr>
          <w:rFonts w:hint="eastAsia"/>
          <w:sz w:val="24"/>
          <w:szCs w:val="24"/>
        </w:rPr>
        <w:tab/>
      </w:r>
      <w:r>
        <w:rPr>
          <w:rFonts w:hint="eastAsia"/>
          <w:sz w:val="24"/>
          <w:szCs w:val="24"/>
        </w:rPr>
        <w:fldChar w:fldCharType="begin"/>
      </w:r>
      <w:r>
        <w:rPr>
          <w:rFonts w:hint="eastAsia"/>
          <w:sz w:val="24"/>
          <w:szCs w:val="24"/>
        </w:rPr>
        <w:instrText xml:space="preserve"> PAGEREF _Toc1085039805 </w:instrText>
      </w:r>
      <w:r>
        <w:rPr>
          <w:rFonts w:hint="eastAsia"/>
          <w:sz w:val="24"/>
          <w:szCs w:val="24"/>
        </w:rPr>
        <w:fldChar w:fldCharType="separate"/>
      </w:r>
      <w:r>
        <w:rPr>
          <w:rFonts w:hint="eastAsia"/>
          <w:sz w:val="24"/>
          <w:szCs w:val="24"/>
        </w:rPr>
        <w:t>4</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"_Toc1658471611" </w:instrText>
      </w:r>
      <w:r>
        <w:fldChar w:fldCharType="separate"/>
      </w:r>
      <w:r>
        <w:rPr>
          <w:rFonts w:hint="eastAsia"/>
          <w:sz w:val="24"/>
          <w:szCs w:val="24"/>
        </w:rPr>
        <w:t>4．《中华人民共和国刑法》及其修正案</w:t>
      </w:r>
      <w:r>
        <w:rPr>
          <w:rFonts w:hint="eastAsia"/>
          <w:sz w:val="24"/>
          <w:szCs w:val="24"/>
          <w:lang w:eastAsia="zh-CN"/>
        </w:rPr>
        <w:t>证券相关</w:t>
      </w:r>
      <w:r>
        <w:rPr>
          <w:rFonts w:hint="eastAsia"/>
          <w:sz w:val="24"/>
          <w:szCs w:val="24"/>
        </w:rPr>
        <w:t>犯罪的规定</w:t>
      </w:r>
      <w:r>
        <w:rPr>
          <w:rFonts w:hint="eastAsia"/>
          <w:sz w:val="24"/>
          <w:szCs w:val="24"/>
        </w:rPr>
        <w:tab/>
      </w:r>
      <w:r>
        <w:rPr>
          <w:rFonts w:hint="eastAsia"/>
          <w:sz w:val="24"/>
          <w:szCs w:val="24"/>
        </w:rPr>
        <w:fldChar w:fldCharType="begin"/>
      </w:r>
      <w:r>
        <w:rPr>
          <w:rFonts w:hint="eastAsia"/>
          <w:sz w:val="24"/>
          <w:szCs w:val="24"/>
        </w:rPr>
        <w:instrText xml:space="preserve"> PAGEREF _Toc1658471611 </w:instrText>
      </w:r>
      <w:r>
        <w:rPr>
          <w:rFonts w:hint="eastAsia"/>
          <w:sz w:val="24"/>
          <w:szCs w:val="24"/>
        </w:rPr>
        <w:fldChar w:fldCharType="separate"/>
      </w:r>
      <w:r>
        <w:rPr>
          <w:rFonts w:hint="eastAsia"/>
          <w:sz w:val="24"/>
          <w:szCs w:val="24"/>
        </w:rPr>
        <w:t>4</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"_Toc431500191" </w:instrText>
      </w:r>
      <w:r>
        <w:fldChar w:fldCharType="separate"/>
      </w:r>
      <w:r>
        <w:rPr>
          <w:rFonts w:hint="eastAsia"/>
          <w:sz w:val="24"/>
          <w:szCs w:val="24"/>
        </w:rPr>
        <w:t>5．《中华人民共和国证券投资基金法》</w:t>
      </w:r>
      <w:r>
        <w:rPr>
          <w:rFonts w:hint="eastAsia"/>
          <w:sz w:val="24"/>
          <w:szCs w:val="24"/>
        </w:rPr>
        <w:tab/>
      </w:r>
      <w:r>
        <w:rPr>
          <w:rFonts w:hint="eastAsia"/>
          <w:sz w:val="24"/>
          <w:szCs w:val="24"/>
        </w:rPr>
        <w:fldChar w:fldCharType="begin"/>
      </w:r>
      <w:r>
        <w:rPr>
          <w:rFonts w:hint="eastAsia"/>
          <w:sz w:val="24"/>
          <w:szCs w:val="24"/>
        </w:rPr>
        <w:instrText xml:space="preserve"> PAGEREF _Toc431500191 </w:instrText>
      </w:r>
      <w:r>
        <w:rPr>
          <w:rFonts w:hint="eastAsia"/>
          <w:sz w:val="24"/>
          <w:szCs w:val="24"/>
        </w:rPr>
        <w:fldChar w:fldCharType="separate"/>
      </w:r>
      <w:r>
        <w:rPr>
          <w:rFonts w:hint="eastAsia"/>
          <w:sz w:val="24"/>
          <w:szCs w:val="24"/>
        </w:rPr>
        <w:t>5</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"_Toc72521768" </w:instrText>
      </w:r>
      <w:r>
        <w:fldChar w:fldCharType="separate"/>
      </w:r>
      <w:r>
        <w:rPr>
          <w:rFonts w:hint="eastAsia"/>
          <w:sz w:val="24"/>
          <w:szCs w:val="24"/>
        </w:rPr>
        <w:t>6．《中华人民共和国期货和衍生品法》</w:t>
      </w:r>
      <w:r>
        <w:rPr>
          <w:rFonts w:hint="eastAsia"/>
          <w:sz w:val="24"/>
          <w:szCs w:val="24"/>
        </w:rPr>
        <w:tab/>
      </w:r>
      <w:r>
        <w:rPr>
          <w:rFonts w:hint="eastAsia"/>
          <w:sz w:val="24"/>
          <w:szCs w:val="24"/>
        </w:rPr>
        <w:fldChar w:fldCharType="begin"/>
      </w:r>
      <w:r>
        <w:rPr>
          <w:rFonts w:hint="eastAsia"/>
          <w:sz w:val="24"/>
          <w:szCs w:val="24"/>
        </w:rPr>
        <w:instrText xml:space="preserve"> PAGEREF _Toc72521768 </w:instrText>
      </w:r>
      <w:r>
        <w:rPr>
          <w:rFonts w:hint="eastAsia"/>
          <w:sz w:val="24"/>
          <w:szCs w:val="24"/>
        </w:rPr>
        <w:fldChar w:fldCharType="separate"/>
      </w:r>
      <w:r>
        <w:rPr>
          <w:rFonts w:hint="eastAsia"/>
          <w:sz w:val="24"/>
          <w:szCs w:val="24"/>
        </w:rPr>
        <w:t>5</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"_Toc1239940697" </w:instrText>
      </w:r>
      <w:r>
        <w:fldChar w:fldCharType="separate"/>
      </w:r>
      <w:r>
        <w:rPr>
          <w:rFonts w:hint="eastAsia"/>
          <w:sz w:val="24"/>
          <w:szCs w:val="24"/>
        </w:rPr>
        <w:t>7．《中华人民共和国信托法》</w:t>
      </w:r>
      <w:r>
        <w:rPr>
          <w:rFonts w:hint="eastAsia"/>
          <w:sz w:val="24"/>
          <w:szCs w:val="24"/>
        </w:rPr>
        <w:tab/>
      </w:r>
      <w:r>
        <w:rPr>
          <w:rFonts w:hint="eastAsia"/>
          <w:sz w:val="24"/>
          <w:szCs w:val="24"/>
        </w:rPr>
        <w:fldChar w:fldCharType="begin"/>
      </w:r>
      <w:r>
        <w:rPr>
          <w:rFonts w:hint="eastAsia"/>
          <w:sz w:val="24"/>
          <w:szCs w:val="24"/>
        </w:rPr>
        <w:instrText xml:space="preserve"> PAGEREF _Toc1239940697 </w:instrText>
      </w:r>
      <w:r>
        <w:rPr>
          <w:rFonts w:hint="eastAsia"/>
          <w:sz w:val="24"/>
          <w:szCs w:val="24"/>
        </w:rPr>
        <w:fldChar w:fldCharType="separate"/>
      </w:r>
      <w:r>
        <w:rPr>
          <w:rFonts w:hint="eastAsia"/>
          <w:sz w:val="24"/>
          <w:szCs w:val="24"/>
        </w:rPr>
        <w:t>5</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"_Toc1163040913" </w:instrText>
      </w:r>
      <w:r>
        <w:fldChar w:fldCharType="separate"/>
      </w:r>
      <w:r>
        <w:rPr>
          <w:rFonts w:hint="eastAsia"/>
          <w:sz w:val="24"/>
          <w:szCs w:val="24"/>
        </w:rPr>
        <w:t>8．《中华人民共和国反洗钱法》</w:t>
      </w:r>
      <w:r>
        <w:rPr>
          <w:rFonts w:hint="eastAsia"/>
          <w:sz w:val="24"/>
          <w:szCs w:val="24"/>
        </w:rPr>
        <w:tab/>
      </w:r>
      <w:r>
        <w:rPr>
          <w:rFonts w:hint="eastAsia"/>
          <w:sz w:val="24"/>
          <w:szCs w:val="24"/>
        </w:rPr>
        <w:fldChar w:fldCharType="begin"/>
      </w:r>
      <w:r>
        <w:rPr>
          <w:rFonts w:hint="eastAsia"/>
          <w:sz w:val="24"/>
          <w:szCs w:val="24"/>
        </w:rPr>
        <w:instrText xml:space="preserve"> PAGEREF _Toc1163040913 </w:instrText>
      </w:r>
      <w:r>
        <w:rPr>
          <w:rFonts w:hint="eastAsia"/>
          <w:sz w:val="24"/>
          <w:szCs w:val="24"/>
        </w:rPr>
        <w:fldChar w:fldCharType="separate"/>
      </w:r>
      <w:r>
        <w:rPr>
          <w:rFonts w:hint="eastAsia"/>
          <w:sz w:val="24"/>
          <w:szCs w:val="24"/>
        </w:rPr>
        <w:t>6</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b/>
          <w:bCs/>
          <w:sz w:val="24"/>
          <w:szCs w:val="24"/>
        </w:rPr>
      </w:pPr>
      <w:r>
        <w:fldChar w:fldCharType="begin"/>
      </w:r>
      <w:r>
        <w:instrText xml:space="preserve"> HYPERLINK \l "_Toc1338748912" </w:instrText>
      </w:r>
      <w:r>
        <w:fldChar w:fldCharType="separate"/>
      </w:r>
      <w:r>
        <w:rPr>
          <w:rFonts w:hint="eastAsia"/>
          <w:b/>
          <w:bCs/>
          <w:sz w:val="24"/>
          <w:szCs w:val="24"/>
          <w:lang w:val="zh-CN"/>
        </w:rPr>
        <w:t>（</w:t>
      </w:r>
      <w:r>
        <w:rPr>
          <w:rFonts w:hint="eastAsia"/>
          <w:b/>
          <w:bCs/>
          <w:sz w:val="24"/>
          <w:szCs w:val="24"/>
        </w:rPr>
        <w:t>三</w:t>
      </w:r>
      <w:r>
        <w:rPr>
          <w:rFonts w:hint="eastAsia"/>
          <w:b/>
          <w:bCs/>
          <w:sz w:val="24"/>
          <w:szCs w:val="24"/>
          <w:lang w:val="zh-CN"/>
        </w:rPr>
        <w:t>）</w:t>
      </w:r>
      <w:r>
        <w:rPr>
          <w:rFonts w:hint="eastAsia"/>
          <w:b/>
          <w:bCs/>
          <w:sz w:val="24"/>
          <w:szCs w:val="24"/>
        </w:rPr>
        <w:t>行政法规</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_Toc1338748912 </w:instrText>
      </w:r>
      <w:r>
        <w:rPr>
          <w:rFonts w:hint="eastAsia"/>
          <w:b/>
          <w:bCs/>
          <w:sz w:val="24"/>
          <w:szCs w:val="24"/>
        </w:rPr>
        <w:fldChar w:fldCharType="separate"/>
      </w:r>
      <w:r>
        <w:rPr>
          <w:rFonts w:hint="eastAsia"/>
          <w:b/>
          <w:bCs/>
          <w:sz w:val="24"/>
          <w:szCs w:val="24"/>
        </w:rPr>
        <w:t>6</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"_Toc136960137" </w:instrText>
      </w:r>
      <w:r>
        <w:fldChar w:fldCharType="separate"/>
      </w:r>
      <w:r>
        <w:rPr>
          <w:rFonts w:hint="eastAsia"/>
          <w:sz w:val="24"/>
          <w:szCs w:val="24"/>
        </w:rPr>
        <w:t>1．《证券公司监督管理条例》</w:t>
      </w:r>
      <w:r>
        <w:rPr>
          <w:rFonts w:hint="eastAsia"/>
          <w:sz w:val="24"/>
          <w:szCs w:val="24"/>
        </w:rPr>
        <w:tab/>
      </w:r>
      <w:r>
        <w:rPr>
          <w:rFonts w:hint="eastAsia"/>
          <w:sz w:val="24"/>
          <w:szCs w:val="24"/>
        </w:rPr>
        <w:fldChar w:fldCharType="begin"/>
      </w:r>
      <w:r>
        <w:rPr>
          <w:rFonts w:hint="eastAsia"/>
          <w:sz w:val="24"/>
          <w:szCs w:val="24"/>
        </w:rPr>
        <w:instrText xml:space="preserve"> PAGEREF _Toc136960137 </w:instrText>
      </w:r>
      <w:r>
        <w:rPr>
          <w:rFonts w:hint="eastAsia"/>
          <w:sz w:val="24"/>
          <w:szCs w:val="24"/>
        </w:rPr>
        <w:fldChar w:fldCharType="separate"/>
      </w:r>
      <w:r>
        <w:rPr>
          <w:rFonts w:hint="eastAsia"/>
          <w:sz w:val="24"/>
          <w:szCs w:val="24"/>
        </w:rPr>
        <w:t>6</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"_Toc243989758" </w:instrText>
      </w:r>
      <w:r>
        <w:fldChar w:fldCharType="separate"/>
      </w:r>
      <w:r>
        <w:rPr>
          <w:rFonts w:hint="eastAsia"/>
          <w:sz w:val="24"/>
          <w:szCs w:val="24"/>
        </w:rPr>
        <w:t>2．《证券公司风险处置条例》</w:t>
      </w:r>
      <w:r>
        <w:rPr>
          <w:rFonts w:hint="eastAsia"/>
          <w:sz w:val="24"/>
          <w:szCs w:val="24"/>
        </w:rPr>
        <w:tab/>
      </w:r>
      <w:r>
        <w:rPr>
          <w:rFonts w:hint="eastAsia"/>
          <w:sz w:val="24"/>
          <w:szCs w:val="24"/>
        </w:rPr>
        <w:fldChar w:fldCharType="begin"/>
      </w:r>
      <w:r>
        <w:rPr>
          <w:rFonts w:hint="eastAsia"/>
          <w:sz w:val="24"/>
          <w:szCs w:val="24"/>
        </w:rPr>
        <w:instrText xml:space="preserve"> PAGEREF _Toc243989758 </w:instrText>
      </w:r>
      <w:r>
        <w:rPr>
          <w:rFonts w:hint="eastAsia"/>
          <w:sz w:val="24"/>
          <w:szCs w:val="24"/>
        </w:rPr>
        <w:fldChar w:fldCharType="separate"/>
      </w:r>
      <w:r>
        <w:rPr>
          <w:rFonts w:hint="eastAsia"/>
          <w:sz w:val="24"/>
          <w:szCs w:val="24"/>
        </w:rPr>
        <w:t>7</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b/>
          <w:bCs/>
          <w:sz w:val="24"/>
          <w:szCs w:val="24"/>
        </w:rPr>
      </w:pPr>
      <w:r>
        <w:fldChar w:fldCharType="begin"/>
      </w:r>
      <w:r>
        <w:instrText xml:space="preserve"> HYPERLINK \l "_Toc1794479620" </w:instrText>
      </w:r>
      <w:r>
        <w:fldChar w:fldCharType="separate"/>
      </w:r>
      <w:r>
        <w:rPr>
          <w:rFonts w:hint="eastAsia"/>
          <w:b/>
          <w:bCs/>
          <w:sz w:val="24"/>
          <w:szCs w:val="24"/>
          <w:lang w:val="zh-CN"/>
        </w:rPr>
        <w:t>第二部分 经营管理类</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_Toc1794479620 </w:instrText>
      </w:r>
      <w:r>
        <w:rPr>
          <w:rFonts w:hint="eastAsia"/>
          <w:b/>
          <w:bCs/>
          <w:sz w:val="24"/>
          <w:szCs w:val="24"/>
        </w:rPr>
        <w:fldChar w:fldCharType="separate"/>
      </w:r>
      <w:r>
        <w:rPr>
          <w:rFonts w:hint="eastAsia"/>
          <w:b/>
          <w:bCs/>
          <w:sz w:val="24"/>
          <w:szCs w:val="24"/>
        </w:rPr>
        <w:t>7</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"_Toc586390038" </w:instrText>
      </w:r>
      <w:r>
        <w:fldChar w:fldCharType="separate"/>
      </w:r>
      <w:r>
        <w:rPr>
          <w:rFonts w:hint="eastAsia"/>
          <w:b/>
          <w:bCs/>
          <w:sz w:val="24"/>
          <w:szCs w:val="24"/>
        </w:rPr>
        <w:t>（一）公司、子公司及分支机构设立、管理</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_Toc586390038 </w:instrText>
      </w:r>
      <w:r>
        <w:rPr>
          <w:rFonts w:hint="eastAsia"/>
          <w:b/>
          <w:bCs/>
          <w:sz w:val="24"/>
          <w:szCs w:val="24"/>
        </w:rPr>
        <w:fldChar w:fldCharType="separate"/>
      </w:r>
      <w:r>
        <w:rPr>
          <w:rFonts w:hint="eastAsia"/>
          <w:b/>
          <w:bCs/>
          <w:sz w:val="24"/>
          <w:szCs w:val="24"/>
        </w:rPr>
        <w:t>7</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"_Toc194420765" </w:instrText>
      </w:r>
      <w:r>
        <w:fldChar w:fldCharType="separate"/>
      </w:r>
      <w:r>
        <w:rPr>
          <w:rFonts w:hint="eastAsia"/>
          <w:sz w:val="24"/>
          <w:szCs w:val="24"/>
        </w:rPr>
        <w:t>1．《证券公司股权管理规定》</w:t>
      </w:r>
      <w:r>
        <w:rPr>
          <w:rFonts w:hint="eastAsia"/>
          <w:sz w:val="24"/>
          <w:szCs w:val="24"/>
        </w:rPr>
        <w:tab/>
      </w:r>
      <w:r>
        <w:rPr>
          <w:rFonts w:hint="eastAsia"/>
          <w:sz w:val="24"/>
          <w:szCs w:val="24"/>
        </w:rPr>
        <w:fldChar w:fldCharType="begin"/>
      </w:r>
      <w:r>
        <w:rPr>
          <w:rFonts w:hint="eastAsia"/>
          <w:sz w:val="24"/>
          <w:szCs w:val="24"/>
        </w:rPr>
        <w:instrText xml:space="preserve"> PAGEREF _Toc194420765 </w:instrText>
      </w:r>
      <w:r>
        <w:rPr>
          <w:rFonts w:hint="eastAsia"/>
          <w:sz w:val="24"/>
          <w:szCs w:val="24"/>
        </w:rPr>
        <w:fldChar w:fldCharType="separate"/>
      </w:r>
      <w:r>
        <w:rPr>
          <w:rFonts w:hint="eastAsia"/>
          <w:sz w:val="24"/>
          <w:szCs w:val="24"/>
        </w:rPr>
        <w:t>7</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"_Toc678084351" </w:instrText>
      </w:r>
      <w:r>
        <w:fldChar w:fldCharType="separate"/>
      </w:r>
      <w:r>
        <w:rPr>
          <w:rFonts w:hint="eastAsia"/>
          <w:sz w:val="24"/>
          <w:szCs w:val="24"/>
        </w:rPr>
        <w:t>2．《外商投资证券公司管理办法》</w:t>
      </w:r>
      <w:r>
        <w:rPr>
          <w:rFonts w:hint="eastAsia"/>
          <w:sz w:val="24"/>
          <w:szCs w:val="24"/>
        </w:rPr>
        <w:tab/>
      </w:r>
      <w:r>
        <w:rPr>
          <w:rFonts w:hint="eastAsia"/>
          <w:sz w:val="24"/>
          <w:szCs w:val="24"/>
        </w:rPr>
        <w:fldChar w:fldCharType="begin"/>
      </w:r>
      <w:r>
        <w:rPr>
          <w:rFonts w:hint="eastAsia"/>
          <w:sz w:val="24"/>
          <w:szCs w:val="24"/>
        </w:rPr>
        <w:instrText xml:space="preserve"> PAGEREF _Toc678084351 </w:instrText>
      </w:r>
      <w:r>
        <w:rPr>
          <w:rFonts w:hint="eastAsia"/>
          <w:sz w:val="24"/>
          <w:szCs w:val="24"/>
        </w:rPr>
        <w:fldChar w:fldCharType="separate"/>
      </w:r>
      <w:r>
        <w:rPr>
          <w:rFonts w:hint="eastAsia"/>
          <w:sz w:val="24"/>
          <w:szCs w:val="24"/>
        </w:rPr>
        <w:t>8</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"_Toc235339705" </w:instrText>
      </w:r>
      <w:r>
        <w:fldChar w:fldCharType="separate"/>
      </w:r>
      <w:r>
        <w:rPr>
          <w:rFonts w:hint="eastAsia"/>
          <w:sz w:val="24"/>
          <w:szCs w:val="24"/>
        </w:rPr>
        <w:t>3．《证券公司业务范围审批暂行规定》</w:t>
      </w:r>
      <w:r>
        <w:rPr>
          <w:rFonts w:hint="eastAsia"/>
          <w:sz w:val="24"/>
          <w:szCs w:val="24"/>
        </w:rPr>
        <w:tab/>
      </w:r>
      <w:r>
        <w:rPr>
          <w:rFonts w:hint="eastAsia"/>
          <w:sz w:val="24"/>
          <w:szCs w:val="24"/>
        </w:rPr>
        <w:fldChar w:fldCharType="begin"/>
      </w:r>
      <w:r>
        <w:rPr>
          <w:rFonts w:hint="eastAsia"/>
          <w:sz w:val="24"/>
          <w:szCs w:val="24"/>
        </w:rPr>
        <w:instrText xml:space="preserve"> PAGEREF _Toc235339705 </w:instrText>
      </w:r>
      <w:r>
        <w:rPr>
          <w:rFonts w:hint="eastAsia"/>
          <w:sz w:val="24"/>
          <w:szCs w:val="24"/>
        </w:rPr>
        <w:fldChar w:fldCharType="separate"/>
      </w:r>
      <w:r>
        <w:rPr>
          <w:rFonts w:hint="eastAsia"/>
          <w:sz w:val="24"/>
          <w:szCs w:val="24"/>
        </w:rPr>
        <w:t>8</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"_Toc157904537" </w:instrText>
      </w:r>
      <w:r>
        <w:fldChar w:fldCharType="separate"/>
      </w:r>
      <w:r>
        <w:rPr>
          <w:rFonts w:hint="eastAsia"/>
          <w:sz w:val="24"/>
          <w:szCs w:val="24"/>
        </w:rPr>
        <w:t>4．《证券公司设立子公司试行规定》</w:t>
      </w:r>
      <w:r>
        <w:rPr>
          <w:rFonts w:hint="eastAsia"/>
          <w:sz w:val="24"/>
          <w:szCs w:val="24"/>
        </w:rPr>
        <w:tab/>
      </w:r>
      <w:r>
        <w:rPr>
          <w:rFonts w:hint="eastAsia"/>
          <w:sz w:val="24"/>
          <w:szCs w:val="24"/>
        </w:rPr>
        <w:fldChar w:fldCharType="begin"/>
      </w:r>
      <w:r>
        <w:rPr>
          <w:rFonts w:hint="eastAsia"/>
          <w:sz w:val="24"/>
          <w:szCs w:val="24"/>
        </w:rPr>
        <w:instrText xml:space="preserve"> PAGEREF _Toc157904537 </w:instrText>
      </w:r>
      <w:r>
        <w:rPr>
          <w:rFonts w:hint="eastAsia"/>
          <w:sz w:val="24"/>
          <w:szCs w:val="24"/>
        </w:rPr>
        <w:fldChar w:fldCharType="separate"/>
      </w:r>
      <w:r>
        <w:rPr>
          <w:rFonts w:hint="eastAsia"/>
          <w:sz w:val="24"/>
          <w:szCs w:val="24"/>
        </w:rPr>
        <w:t>8</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"_Toc1127794431" </w:instrText>
      </w:r>
      <w:r>
        <w:fldChar w:fldCharType="separate"/>
      </w:r>
      <w:r>
        <w:rPr>
          <w:rFonts w:hint="eastAsia"/>
          <w:sz w:val="24"/>
          <w:szCs w:val="24"/>
        </w:rPr>
        <w:t>5．《证券公司分支机构监管规定》</w:t>
      </w:r>
      <w:r>
        <w:rPr>
          <w:rFonts w:hint="eastAsia"/>
          <w:sz w:val="24"/>
          <w:szCs w:val="24"/>
        </w:rPr>
        <w:tab/>
      </w:r>
      <w:r>
        <w:rPr>
          <w:rFonts w:hint="eastAsia"/>
          <w:sz w:val="24"/>
          <w:szCs w:val="24"/>
        </w:rPr>
        <w:fldChar w:fldCharType="begin"/>
      </w:r>
      <w:r>
        <w:rPr>
          <w:rFonts w:hint="eastAsia"/>
          <w:sz w:val="24"/>
          <w:szCs w:val="24"/>
        </w:rPr>
        <w:instrText xml:space="preserve"> PAGEREF _Toc1127794431 </w:instrText>
      </w:r>
      <w:r>
        <w:rPr>
          <w:rFonts w:hint="eastAsia"/>
          <w:sz w:val="24"/>
          <w:szCs w:val="24"/>
        </w:rPr>
        <w:fldChar w:fldCharType="separate"/>
      </w:r>
      <w:r>
        <w:rPr>
          <w:rFonts w:hint="eastAsia"/>
          <w:sz w:val="24"/>
          <w:szCs w:val="24"/>
        </w:rPr>
        <w:t>9</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"_Toc1168074865" </w:instrText>
      </w:r>
      <w:r>
        <w:fldChar w:fldCharType="separate"/>
      </w:r>
      <w:r>
        <w:rPr>
          <w:rFonts w:hint="eastAsia"/>
          <w:sz w:val="24"/>
          <w:szCs w:val="24"/>
        </w:rPr>
        <w:t>6．《证券公司私募投资基金子公司管理规范》</w:t>
      </w:r>
      <w:r>
        <w:rPr>
          <w:rFonts w:hint="eastAsia"/>
          <w:sz w:val="24"/>
          <w:szCs w:val="24"/>
        </w:rPr>
        <w:tab/>
      </w:r>
      <w:r>
        <w:rPr>
          <w:rFonts w:hint="eastAsia"/>
          <w:sz w:val="24"/>
          <w:szCs w:val="24"/>
        </w:rPr>
        <w:fldChar w:fldCharType="begin"/>
      </w:r>
      <w:r>
        <w:rPr>
          <w:rFonts w:hint="eastAsia"/>
          <w:sz w:val="24"/>
          <w:szCs w:val="24"/>
        </w:rPr>
        <w:instrText xml:space="preserve"> PAGEREF _Toc1168074865 </w:instrText>
      </w:r>
      <w:r>
        <w:rPr>
          <w:rFonts w:hint="eastAsia"/>
          <w:sz w:val="24"/>
          <w:szCs w:val="24"/>
        </w:rPr>
        <w:fldChar w:fldCharType="separate"/>
      </w:r>
      <w:r>
        <w:rPr>
          <w:rFonts w:hint="eastAsia"/>
          <w:sz w:val="24"/>
          <w:szCs w:val="24"/>
        </w:rPr>
        <w:t>9</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"_Toc57910793" </w:instrText>
      </w:r>
      <w:r>
        <w:fldChar w:fldCharType="separate"/>
      </w:r>
      <w:r>
        <w:rPr>
          <w:rFonts w:hint="eastAsia"/>
          <w:sz w:val="24"/>
          <w:szCs w:val="24"/>
        </w:rPr>
        <w:t>7．《证券公司另类投资子公司管理规范》</w:t>
      </w:r>
      <w:r>
        <w:rPr>
          <w:rFonts w:hint="eastAsia"/>
          <w:sz w:val="24"/>
          <w:szCs w:val="24"/>
        </w:rPr>
        <w:tab/>
      </w:r>
      <w:r>
        <w:rPr>
          <w:rFonts w:hint="eastAsia"/>
          <w:sz w:val="24"/>
          <w:szCs w:val="24"/>
        </w:rPr>
        <w:fldChar w:fldCharType="begin"/>
      </w:r>
      <w:r>
        <w:rPr>
          <w:rFonts w:hint="eastAsia"/>
          <w:sz w:val="24"/>
          <w:szCs w:val="24"/>
        </w:rPr>
        <w:instrText xml:space="preserve"> PAGEREF _Toc57910793 </w:instrText>
      </w:r>
      <w:r>
        <w:rPr>
          <w:rFonts w:hint="eastAsia"/>
          <w:sz w:val="24"/>
          <w:szCs w:val="24"/>
        </w:rPr>
        <w:fldChar w:fldCharType="separate"/>
      </w:r>
      <w:r>
        <w:rPr>
          <w:rFonts w:hint="eastAsia"/>
          <w:sz w:val="24"/>
          <w:szCs w:val="24"/>
        </w:rPr>
        <w:t>9</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"_Toc243380262" </w:instrText>
      </w:r>
      <w:r>
        <w:fldChar w:fldCharType="separate"/>
      </w:r>
      <w:r>
        <w:rPr>
          <w:rFonts w:hint="eastAsia"/>
          <w:sz w:val="24"/>
          <w:szCs w:val="24"/>
        </w:rPr>
        <w:t>8．《证券公司和证券投资基金管理公司境外设立、收购、参股经营机构管理办法》</w:t>
      </w:r>
      <w:r>
        <w:rPr>
          <w:rFonts w:hint="eastAsia"/>
          <w:sz w:val="24"/>
          <w:szCs w:val="24"/>
        </w:rPr>
        <w:tab/>
      </w:r>
      <w:r>
        <w:rPr>
          <w:rFonts w:hint="eastAsia"/>
          <w:sz w:val="24"/>
          <w:szCs w:val="24"/>
        </w:rPr>
        <w:fldChar w:fldCharType="begin"/>
      </w:r>
      <w:r>
        <w:rPr>
          <w:rFonts w:hint="eastAsia"/>
          <w:sz w:val="24"/>
          <w:szCs w:val="24"/>
        </w:rPr>
        <w:instrText xml:space="preserve"> PAGEREF _Toc243380262 </w:instrText>
      </w:r>
      <w:r>
        <w:rPr>
          <w:rFonts w:hint="eastAsia"/>
          <w:sz w:val="24"/>
          <w:szCs w:val="24"/>
        </w:rPr>
        <w:fldChar w:fldCharType="separate"/>
      </w:r>
      <w:r>
        <w:rPr>
          <w:rFonts w:hint="eastAsia"/>
          <w:sz w:val="24"/>
          <w:szCs w:val="24"/>
        </w:rPr>
        <w:t>10</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"_Toc671980064" </w:instrText>
      </w:r>
      <w:r>
        <w:fldChar w:fldCharType="separate"/>
      </w:r>
      <w:r>
        <w:rPr>
          <w:rFonts w:hint="eastAsia"/>
          <w:b/>
          <w:bCs/>
          <w:sz w:val="24"/>
          <w:szCs w:val="24"/>
        </w:rPr>
        <w:t>（二）公司治理、内部控制与信息披露</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_Toc671980064 </w:instrText>
      </w:r>
      <w:r>
        <w:rPr>
          <w:rFonts w:hint="eastAsia"/>
          <w:b/>
          <w:bCs/>
          <w:sz w:val="24"/>
          <w:szCs w:val="24"/>
        </w:rPr>
        <w:fldChar w:fldCharType="separate"/>
      </w:r>
      <w:r>
        <w:rPr>
          <w:rFonts w:hint="eastAsia"/>
          <w:b/>
          <w:bCs/>
          <w:sz w:val="24"/>
          <w:szCs w:val="24"/>
        </w:rPr>
        <w:t>10</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"_Toc304594614" </w:instrText>
      </w:r>
      <w:r>
        <w:fldChar w:fldCharType="separate"/>
      </w:r>
      <w:r>
        <w:rPr>
          <w:rFonts w:hint="eastAsia"/>
          <w:sz w:val="24"/>
          <w:szCs w:val="24"/>
        </w:rPr>
        <w:t xml:space="preserve">1. </w:t>
      </w:r>
      <w:r>
        <w:rPr>
          <w:rFonts w:hint="eastAsia"/>
          <w:sz w:val="24"/>
          <w:szCs w:val="24"/>
          <w:lang w:val="zh-CN"/>
        </w:rPr>
        <w:t>《关于加强证券公司和公募基金监管加快推进建设一流投资银行和投资机构的意见（试行）》</w:t>
      </w:r>
      <w:r>
        <w:rPr>
          <w:rFonts w:hint="eastAsia"/>
          <w:sz w:val="24"/>
          <w:szCs w:val="24"/>
        </w:rPr>
        <w:tab/>
      </w:r>
      <w:r>
        <w:rPr>
          <w:rFonts w:hint="eastAsia"/>
          <w:sz w:val="24"/>
          <w:szCs w:val="24"/>
        </w:rPr>
        <w:fldChar w:fldCharType="begin"/>
      </w:r>
      <w:r>
        <w:rPr>
          <w:rFonts w:hint="eastAsia"/>
          <w:sz w:val="24"/>
          <w:szCs w:val="24"/>
        </w:rPr>
        <w:instrText xml:space="preserve"> PAGEREF _Toc304594614 </w:instrText>
      </w:r>
      <w:r>
        <w:rPr>
          <w:rFonts w:hint="eastAsia"/>
          <w:sz w:val="24"/>
          <w:szCs w:val="24"/>
        </w:rPr>
        <w:fldChar w:fldCharType="separate"/>
      </w:r>
      <w:r>
        <w:rPr>
          <w:rFonts w:hint="eastAsia"/>
          <w:sz w:val="24"/>
          <w:szCs w:val="24"/>
        </w:rPr>
        <w:t>10</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"_Toc1721474242" </w:instrText>
      </w:r>
      <w:r>
        <w:fldChar w:fldCharType="separate"/>
      </w:r>
      <w:r>
        <w:rPr>
          <w:rFonts w:hint="eastAsia"/>
          <w:sz w:val="24"/>
          <w:szCs w:val="24"/>
        </w:rPr>
        <w:t>2．《证券公司治理准则》</w:t>
      </w:r>
      <w:r>
        <w:rPr>
          <w:rFonts w:hint="eastAsia"/>
          <w:sz w:val="24"/>
          <w:szCs w:val="24"/>
        </w:rPr>
        <w:tab/>
      </w:r>
      <w:r>
        <w:rPr>
          <w:rFonts w:hint="eastAsia"/>
          <w:sz w:val="24"/>
          <w:szCs w:val="24"/>
        </w:rPr>
        <w:fldChar w:fldCharType="begin"/>
      </w:r>
      <w:r>
        <w:rPr>
          <w:rFonts w:hint="eastAsia"/>
          <w:sz w:val="24"/>
          <w:szCs w:val="24"/>
        </w:rPr>
        <w:instrText xml:space="preserve"> PAGEREF _Toc1721474242 </w:instrText>
      </w:r>
      <w:r>
        <w:rPr>
          <w:rFonts w:hint="eastAsia"/>
          <w:sz w:val="24"/>
          <w:szCs w:val="24"/>
        </w:rPr>
        <w:fldChar w:fldCharType="separate"/>
      </w:r>
      <w:r>
        <w:rPr>
          <w:rFonts w:hint="eastAsia"/>
          <w:sz w:val="24"/>
          <w:szCs w:val="24"/>
        </w:rPr>
        <w:t>10</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"_Toc1527874727" </w:instrText>
      </w:r>
      <w:r>
        <w:fldChar w:fldCharType="separate"/>
      </w:r>
      <w:r>
        <w:rPr>
          <w:rFonts w:hint="eastAsia"/>
          <w:sz w:val="24"/>
          <w:szCs w:val="24"/>
        </w:rPr>
        <w:t>3．《证券公司内部控制指引》</w:t>
      </w:r>
      <w:r>
        <w:rPr>
          <w:rFonts w:hint="eastAsia"/>
          <w:sz w:val="24"/>
          <w:szCs w:val="24"/>
        </w:rPr>
        <w:tab/>
      </w:r>
      <w:r>
        <w:rPr>
          <w:rFonts w:hint="eastAsia"/>
          <w:sz w:val="24"/>
          <w:szCs w:val="24"/>
        </w:rPr>
        <w:fldChar w:fldCharType="begin"/>
      </w:r>
      <w:r>
        <w:rPr>
          <w:rFonts w:hint="eastAsia"/>
          <w:sz w:val="24"/>
          <w:szCs w:val="24"/>
        </w:rPr>
        <w:instrText xml:space="preserve"> PAGEREF _Toc1527874727 </w:instrText>
      </w:r>
      <w:r>
        <w:rPr>
          <w:rFonts w:hint="eastAsia"/>
          <w:sz w:val="24"/>
          <w:szCs w:val="24"/>
        </w:rPr>
        <w:fldChar w:fldCharType="separate"/>
      </w:r>
      <w:r>
        <w:rPr>
          <w:rFonts w:hint="eastAsia"/>
          <w:sz w:val="24"/>
          <w:szCs w:val="24"/>
        </w:rPr>
        <w:t>11</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"_Toc1426893031" </w:instrText>
      </w:r>
      <w:r>
        <w:fldChar w:fldCharType="separate"/>
      </w:r>
      <w:r>
        <w:rPr>
          <w:rFonts w:hint="eastAsia"/>
          <w:sz w:val="24"/>
          <w:szCs w:val="24"/>
        </w:rPr>
        <w:t>4．《关于加强上市证券公司监管的规定》</w:t>
      </w:r>
      <w:r>
        <w:rPr>
          <w:rFonts w:hint="eastAsia"/>
          <w:sz w:val="24"/>
          <w:szCs w:val="24"/>
        </w:rPr>
        <w:tab/>
      </w:r>
      <w:r>
        <w:rPr>
          <w:rFonts w:hint="eastAsia"/>
          <w:sz w:val="24"/>
          <w:szCs w:val="24"/>
        </w:rPr>
        <w:fldChar w:fldCharType="begin"/>
      </w:r>
      <w:r>
        <w:rPr>
          <w:rFonts w:hint="eastAsia"/>
          <w:sz w:val="24"/>
          <w:szCs w:val="24"/>
        </w:rPr>
        <w:instrText xml:space="preserve"> PAGEREF _Toc1426893031 </w:instrText>
      </w:r>
      <w:r>
        <w:rPr>
          <w:rFonts w:hint="eastAsia"/>
          <w:sz w:val="24"/>
          <w:szCs w:val="24"/>
        </w:rPr>
        <w:fldChar w:fldCharType="separate"/>
      </w:r>
      <w:r>
        <w:rPr>
          <w:rFonts w:hint="eastAsia"/>
          <w:sz w:val="24"/>
          <w:szCs w:val="24"/>
        </w:rPr>
        <w:t>11</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"_Toc2062550576" </w:instrText>
      </w:r>
      <w:r>
        <w:fldChar w:fldCharType="separate"/>
      </w:r>
      <w:r>
        <w:rPr>
          <w:rFonts w:hint="eastAsia"/>
          <w:sz w:val="24"/>
          <w:szCs w:val="24"/>
        </w:rPr>
        <w:t>5．《证券公司年度报告内容与格式准则》</w:t>
      </w:r>
      <w:r>
        <w:rPr>
          <w:rFonts w:hint="eastAsia"/>
          <w:sz w:val="24"/>
          <w:szCs w:val="24"/>
        </w:rPr>
        <w:tab/>
      </w:r>
      <w:r>
        <w:rPr>
          <w:rFonts w:hint="eastAsia"/>
          <w:sz w:val="24"/>
          <w:szCs w:val="24"/>
        </w:rPr>
        <w:fldChar w:fldCharType="begin"/>
      </w:r>
      <w:r>
        <w:rPr>
          <w:rFonts w:hint="eastAsia"/>
          <w:sz w:val="24"/>
          <w:szCs w:val="24"/>
        </w:rPr>
        <w:instrText xml:space="preserve"> PAGEREF _Toc2062550576 </w:instrText>
      </w:r>
      <w:r>
        <w:rPr>
          <w:rFonts w:hint="eastAsia"/>
          <w:sz w:val="24"/>
          <w:szCs w:val="24"/>
        </w:rPr>
        <w:fldChar w:fldCharType="separate"/>
      </w:r>
      <w:r>
        <w:rPr>
          <w:rFonts w:hint="eastAsia"/>
          <w:sz w:val="24"/>
          <w:szCs w:val="24"/>
        </w:rPr>
        <w:t>12</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"_Toc1785207532" </w:instrText>
      </w:r>
      <w:r>
        <w:fldChar w:fldCharType="separate"/>
      </w:r>
      <w:r>
        <w:rPr>
          <w:rFonts w:hint="eastAsia"/>
          <w:sz w:val="24"/>
          <w:szCs w:val="24"/>
        </w:rPr>
        <w:t>6. 《证券公司内部审计指引》</w:t>
      </w:r>
      <w:r>
        <w:rPr>
          <w:rFonts w:hint="eastAsia"/>
          <w:sz w:val="24"/>
          <w:szCs w:val="24"/>
        </w:rPr>
        <w:tab/>
      </w:r>
      <w:r>
        <w:rPr>
          <w:rFonts w:hint="eastAsia"/>
          <w:sz w:val="24"/>
          <w:szCs w:val="24"/>
        </w:rPr>
        <w:fldChar w:fldCharType="begin"/>
      </w:r>
      <w:r>
        <w:rPr>
          <w:rFonts w:hint="eastAsia"/>
          <w:sz w:val="24"/>
          <w:szCs w:val="24"/>
        </w:rPr>
        <w:instrText xml:space="preserve"> PAGEREF _Toc1785207532 </w:instrText>
      </w:r>
      <w:r>
        <w:rPr>
          <w:rFonts w:hint="eastAsia"/>
          <w:sz w:val="24"/>
          <w:szCs w:val="24"/>
        </w:rPr>
        <w:fldChar w:fldCharType="separate"/>
      </w:r>
      <w:r>
        <w:rPr>
          <w:rFonts w:hint="eastAsia"/>
          <w:sz w:val="24"/>
          <w:szCs w:val="24"/>
        </w:rPr>
        <w:t>12</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b/>
          <w:bCs/>
          <w:sz w:val="24"/>
          <w:szCs w:val="24"/>
        </w:rPr>
      </w:pPr>
      <w:r>
        <w:fldChar w:fldCharType="begin"/>
      </w:r>
      <w:r>
        <w:instrText xml:space="preserve"> HYPERLINK \l "_Toc412386477" </w:instrText>
      </w:r>
      <w:r>
        <w:fldChar w:fldCharType="separate"/>
      </w:r>
      <w:r>
        <w:rPr>
          <w:rFonts w:hint="eastAsia"/>
          <w:b/>
          <w:bCs/>
          <w:sz w:val="24"/>
          <w:szCs w:val="24"/>
        </w:rPr>
        <w:t>（三）合规管理与风险管理</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_Toc412386477 </w:instrText>
      </w:r>
      <w:r>
        <w:rPr>
          <w:rFonts w:hint="eastAsia"/>
          <w:b/>
          <w:bCs/>
          <w:sz w:val="24"/>
          <w:szCs w:val="24"/>
        </w:rPr>
        <w:fldChar w:fldCharType="separate"/>
      </w:r>
      <w:r>
        <w:rPr>
          <w:rFonts w:hint="eastAsia"/>
          <w:b/>
          <w:bCs/>
          <w:sz w:val="24"/>
          <w:szCs w:val="24"/>
        </w:rPr>
        <w:t>12</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"_Toc1218292059" </w:instrText>
      </w:r>
      <w:r>
        <w:fldChar w:fldCharType="separate"/>
      </w:r>
      <w:r>
        <w:rPr>
          <w:rFonts w:hint="eastAsia"/>
          <w:sz w:val="24"/>
          <w:szCs w:val="24"/>
        </w:rPr>
        <w:t>1．《证券公司和证券投资基金管理公司合规管理办法》及《证券公司合规管理实施指引》</w:t>
      </w:r>
      <w:r>
        <w:rPr>
          <w:rFonts w:hint="eastAsia"/>
          <w:sz w:val="24"/>
          <w:szCs w:val="24"/>
        </w:rPr>
        <w:tab/>
      </w:r>
      <w:r>
        <w:rPr>
          <w:rFonts w:hint="eastAsia"/>
          <w:sz w:val="24"/>
          <w:szCs w:val="24"/>
        </w:rPr>
        <w:fldChar w:fldCharType="begin"/>
      </w:r>
      <w:r>
        <w:rPr>
          <w:rFonts w:hint="eastAsia"/>
          <w:sz w:val="24"/>
          <w:szCs w:val="24"/>
        </w:rPr>
        <w:instrText xml:space="preserve"> PAGEREF _Toc1218292059 </w:instrText>
      </w:r>
      <w:r>
        <w:rPr>
          <w:rFonts w:hint="eastAsia"/>
          <w:sz w:val="24"/>
          <w:szCs w:val="24"/>
        </w:rPr>
        <w:fldChar w:fldCharType="separate"/>
      </w:r>
      <w:r>
        <w:rPr>
          <w:rFonts w:hint="eastAsia"/>
          <w:sz w:val="24"/>
          <w:szCs w:val="24"/>
        </w:rPr>
        <w:t>12</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"_Toc395381919" </w:instrText>
      </w:r>
      <w:r>
        <w:fldChar w:fldCharType="separate"/>
      </w:r>
      <w:r>
        <w:rPr>
          <w:rFonts w:hint="eastAsia"/>
          <w:sz w:val="24"/>
          <w:szCs w:val="24"/>
        </w:rPr>
        <w:t>2．《证券公司分类监管规定》</w:t>
      </w:r>
      <w:r>
        <w:rPr>
          <w:rFonts w:hint="eastAsia"/>
          <w:sz w:val="24"/>
          <w:szCs w:val="24"/>
        </w:rPr>
        <w:tab/>
      </w:r>
      <w:r>
        <w:rPr>
          <w:rFonts w:hint="eastAsia"/>
          <w:sz w:val="24"/>
          <w:szCs w:val="24"/>
        </w:rPr>
        <w:fldChar w:fldCharType="begin"/>
      </w:r>
      <w:r>
        <w:rPr>
          <w:rFonts w:hint="eastAsia"/>
          <w:sz w:val="24"/>
          <w:szCs w:val="24"/>
        </w:rPr>
        <w:instrText xml:space="preserve"> PAGEREF _Toc395381919 </w:instrText>
      </w:r>
      <w:r>
        <w:rPr>
          <w:rFonts w:hint="eastAsia"/>
          <w:sz w:val="24"/>
          <w:szCs w:val="24"/>
        </w:rPr>
        <w:fldChar w:fldCharType="separate"/>
      </w:r>
      <w:r>
        <w:rPr>
          <w:rFonts w:hint="eastAsia"/>
          <w:sz w:val="24"/>
          <w:szCs w:val="24"/>
        </w:rPr>
        <w:t>13</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"_Toc1084360756" </w:instrText>
      </w:r>
      <w:r>
        <w:fldChar w:fldCharType="separate"/>
      </w:r>
      <w:r>
        <w:rPr>
          <w:rFonts w:hint="eastAsia"/>
          <w:sz w:val="24"/>
          <w:szCs w:val="24"/>
        </w:rPr>
        <w:t>3．《证券公司信息隔离墙制度指引》及《关于证券公司做好利益冲突管理工作的通知》</w:t>
      </w:r>
      <w:r>
        <w:rPr>
          <w:rFonts w:hint="eastAsia"/>
          <w:sz w:val="24"/>
          <w:szCs w:val="24"/>
        </w:rPr>
        <w:tab/>
      </w:r>
      <w:r>
        <w:rPr>
          <w:rFonts w:hint="eastAsia"/>
          <w:sz w:val="24"/>
          <w:szCs w:val="24"/>
        </w:rPr>
        <w:fldChar w:fldCharType="begin"/>
      </w:r>
      <w:r>
        <w:rPr>
          <w:rFonts w:hint="eastAsia"/>
          <w:sz w:val="24"/>
          <w:szCs w:val="24"/>
        </w:rPr>
        <w:instrText xml:space="preserve"> PAGEREF _Toc1084360756 </w:instrText>
      </w:r>
      <w:r>
        <w:rPr>
          <w:rFonts w:hint="eastAsia"/>
          <w:sz w:val="24"/>
          <w:szCs w:val="24"/>
        </w:rPr>
        <w:fldChar w:fldCharType="separate"/>
      </w:r>
      <w:r>
        <w:rPr>
          <w:rFonts w:hint="eastAsia"/>
          <w:sz w:val="24"/>
          <w:szCs w:val="24"/>
        </w:rPr>
        <w:t>13</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"_Toc1631356491" </w:instrText>
      </w:r>
      <w:r>
        <w:fldChar w:fldCharType="separate"/>
      </w:r>
      <w:r>
        <w:rPr>
          <w:rFonts w:hint="eastAsia"/>
          <w:sz w:val="24"/>
          <w:szCs w:val="24"/>
        </w:rPr>
        <w:t>4．《证券公司风险控制指标管理办法》</w:t>
      </w:r>
      <w:r>
        <w:rPr>
          <w:rFonts w:hint="eastAsia"/>
          <w:sz w:val="24"/>
          <w:szCs w:val="24"/>
        </w:rPr>
        <w:tab/>
      </w:r>
      <w:r>
        <w:rPr>
          <w:rFonts w:hint="eastAsia"/>
          <w:sz w:val="24"/>
          <w:szCs w:val="24"/>
        </w:rPr>
        <w:fldChar w:fldCharType="begin"/>
      </w:r>
      <w:r>
        <w:rPr>
          <w:rFonts w:hint="eastAsia"/>
          <w:sz w:val="24"/>
          <w:szCs w:val="24"/>
        </w:rPr>
        <w:instrText xml:space="preserve"> PAGEREF _Toc1631356491 </w:instrText>
      </w:r>
      <w:r>
        <w:rPr>
          <w:rFonts w:hint="eastAsia"/>
          <w:sz w:val="24"/>
          <w:szCs w:val="24"/>
        </w:rPr>
        <w:fldChar w:fldCharType="separate"/>
      </w:r>
      <w:r>
        <w:rPr>
          <w:rFonts w:hint="eastAsia"/>
          <w:sz w:val="24"/>
          <w:szCs w:val="24"/>
        </w:rPr>
        <w:t>14</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"_Toc1480421725" </w:instrText>
      </w:r>
      <w:r>
        <w:fldChar w:fldCharType="separate"/>
      </w:r>
      <w:r>
        <w:rPr>
          <w:rFonts w:hint="eastAsia"/>
          <w:sz w:val="24"/>
          <w:szCs w:val="24"/>
        </w:rPr>
        <w:t>5．《证券公司风险控制指标计算标准规定》</w:t>
      </w:r>
      <w:r>
        <w:rPr>
          <w:rFonts w:hint="eastAsia"/>
          <w:sz w:val="24"/>
          <w:szCs w:val="24"/>
        </w:rPr>
        <w:tab/>
      </w:r>
      <w:r>
        <w:rPr>
          <w:rFonts w:hint="eastAsia"/>
          <w:sz w:val="24"/>
          <w:szCs w:val="24"/>
        </w:rPr>
        <w:fldChar w:fldCharType="begin"/>
      </w:r>
      <w:r>
        <w:rPr>
          <w:rFonts w:hint="eastAsia"/>
          <w:sz w:val="24"/>
          <w:szCs w:val="24"/>
        </w:rPr>
        <w:instrText xml:space="preserve"> PAGEREF _Toc1480421725 </w:instrText>
      </w:r>
      <w:r>
        <w:rPr>
          <w:rFonts w:hint="eastAsia"/>
          <w:sz w:val="24"/>
          <w:szCs w:val="24"/>
        </w:rPr>
        <w:fldChar w:fldCharType="separate"/>
      </w:r>
      <w:r>
        <w:rPr>
          <w:rFonts w:hint="eastAsia"/>
          <w:sz w:val="24"/>
          <w:szCs w:val="24"/>
        </w:rPr>
        <w:t>14</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"_Toc595348719" </w:instrText>
      </w:r>
      <w:r>
        <w:fldChar w:fldCharType="separate"/>
      </w:r>
      <w:r>
        <w:rPr>
          <w:rFonts w:hint="eastAsia"/>
          <w:sz w:val="24"/>
          <w:szCs w:val="24"/>
        </w:rPr>
        <w:t>6．《证券公司全面风险管理规范》</w:t>
      </w:r>
      <w:r>
        <w:rPr>
          <w:rFonts w:hint="eastAsia"/>
          <w:sz w:val="24"/>
          <w:szCs w:val="24"/>
        </w:rPr>
        <w:tab/>
      </w:r>
      <w:r>
        <w:rPr>
          <w:rFonts w:hint="eastAsia"/>
          <w:sz w:val="24"/>
          <w:szCs w:val="24"/>
        </w:rPr>
        <w:fldChar w:fldCharType="begin"/>
      </w:r>
      <w:r>
        <w:rPr>
          <w:rFonts w:hint="eastAsia"/>
          <w:sz w:val="24"/>
          <w:szCs w:val="24"/>
        </w:rPr>
        <w:instrText xml:space="preserve"> PAGEREF _Toc595348719 </w:instrText>
      </w:r>
      <w:r>
        <w:rPr>
          <w:rFonts w:hint="eastAsia"/>
          <w:sz w:val="24"/>
          <w:szCs w:val="24"/>
        </w:rPr>
        <w:fldChar w:fldCharType="separate"/>
      </w:r>
      <w:r>
        <w:rPr>
          <w:rFonts w:hint="eastAsia"/>
          <w:sz w:val="24"/>
          <w:szCs w:val="24"/>
        </w:rPr>
        <w:t>15</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"_Toc2062856682" </w:instrText>
      </w:r>
      <w:r>
        <w:fldChar w:fldCharType="separate"/>
      </w:r>
      <w:r>
        <w:rPr>
          <w:rFonts w:hint="eastAsia"/>
          <w:sz w:val="24"/>
          <w:szCs w:val="24"/>
        </w:rPr>
        <w:t>7．《证券公司流动性风险管理指引》</w:t>
      </w:r>
      <w:r>
        <w:rPr>
          <w:rFonts w:hint="eastAsia"/>
          <w:sz w:val="24"/>
          <w:szCs w:val="24"/>
        </w:rPr>
        <w:tab/>
      </w:r>
      <w:r>
        <w:rPr>
          <w:rFonts w:hint="eastAsia"/>
          <w:sz w:val="24"/>
          <w:szCs w:val="24"/>
        </w:rPr>
        <w:fldChar w:fldCharType="begin"/>
      </w:r>
      <w:r>
        <w:rPr>
          <w:rFonts w:hint="eastAsia"/>
          <w:sz w:val="24"/>
          <w:szCs w:val="24"/>
        </w:rPr>
        <w:instrText xml:space="preserve"> PAGEREF _Toc2062856682 </w:instrText>
      </w:r>
      <w:r>
        <w:rPr>
          <w:rFonts w:hint="eastAsia"/>
          <w:sz w:val="24"/>
          <w:szCs w:val="24"/>
        </w:rPr>
        <w:fldChar w:fldCharType="separate"/>
      </w:r>
      <w:r>
        <w:rPr>
          <w:rFonts w:hint="eastAsia"/>
          <w:sz w:val="24"/>
          <w:szCs w:val="24"/>
        </w:rPr>
        <w:t>15</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"_Toc1552943493" </w:instrText>
      </w:r>
      <w:r>
        <w:fldChar w:fldCharType="separate"/>
      </w:r>
      <w:r>
        <w:rPr>
          <w:rFonts w:hint="eastAsia"/>
          <w:sz w:val="24"/>
          <w:szCs w:val="24"/>
        </w:rPr>
        <w:t>8．《证券公司信用风险管理指引》</w:t>
      </w:r>
      <w:r>
        <w:rPr>
          <w:rFonts w:hint="eastAsia"/>
          <w:sz w:val="24"/>
          <w:szCs w:val="24"/>
        </w:rPr>
        <w:tab/>
      </w:r>
      <w:r>
        <w:rPr>
          <w:rFonts w:hint="eastAsia"/>
          <w:sz w:val="24"/>
          <w:szCs w:val="24"/>
        </w:rPr>
        <w:fldChar w:fldCharType="begin"/>
      </w:r>
      <w:r>
        <w:rPr>
          <w:rFonts w:hint="eastAsia"/>
          <w:sz w:val="24"/>
          <w:szCs w:val="24"/>
        </w:rPr>
        <w:instrText xml:space="preserve"> PAGEREF _Toc1552943493 </w:instrText>
      </w:r>
      <w:r>
        <w:rPr>
          <w:rFonts w:hint="eastAsia"/>
          <w:sz w:val="24"/>
          <w:szCs w:val="24"/>
        </w:rPr>
        <w:fldChar w:fldCharType="separate"/>
      </w:r>
      <w:r>
        <w:rPr>
          <w:rFonts w:hint="eastAsia"/>
          <w:sz w:val="24"/>
          <w:szCs w:val="24"/>
        </w:rPr>
        <w:t>15</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"_Toc1835289416" </w:instrText>
      </w:r>
      <w:r>
        <w:fldChar w:fldCharType="separate"/>
      </w:r>
      <w:r>
        <w:rPr>
          <w:rFonts w:hint="eastAsia"/>
          <w:sz w:val="24"/>
          <w:szCs w:val="24"/>
        </w:rPr>
        <w:t>9．《证券公司声誉风险管理指引》</w:t>
      </w:r>
      <w:r>
        <w:rPr>
          <w:rFonts w:hint="eastAsia"/>
          <w:sz w:val="24"/>
          <w:szCs w:val="24"/>
        </w:rPr>
        <w:tab/>
      </w:r>
      <w:r>
        <w:rPr>
          <w:rFonts w:hint="eastAsia"/>
          <w:sz w:val="24"/>
          <w:szCs w:val="24"/>
        </w:rPr>
        <w:fldChar w:fldCharType="begin"/>
      </w:r>
      <w:r>
        <w:rPr>
          <w:rFonts w:hint="eastAsia"/>
          <w:sz w:val="24"/>
          <w:szCs w:val="24"/>
        </w:rPr>
        <w:instrText xml:space="preserve"> PAGEREF _Toc1835289416 </w:instrText>
      </w:r>
      <w:r>
        <w:rPr>
          <w:rFonts w:hint="eastAsia"/>
          <w:sz w:val="24"/>
          <w:szCs w:val="24"/>
        </w:rPr>
        <w:fldChar w:fldCharType="separate"/>
      </w:r>
      <w:r>
        <w:rPr>
          <w:rFonts w:hint="eastAsia"/>
          <w:sz w:val="24"/>
          <w:szCs w:val="24"/>
        </w:rPr>
        <w:t>16</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"_Toc1078413947" </w:instrText>
      </w:r>
      <w:r>
        <w:fldChar w:fldCharType="separate"/>
      </w:r>
      <w:r>
        <w:rPr>
          <w:rFonts w:hint="eastAsia"/>
          <w:sz w:val="24"/>
          <w:szCs w:val="24"/>
        </w:rPr>
        <w:t>10. 《证券公司操作风险管理指引》</w:t>
      </w:r>
      <w:r>
        <w:rPr>
          <w:rFonts w:hint="eastAsia"/>
          <w:sz w:val="24"/>
          <w:szCs w:val="24"/>
        </w:rPr>
        <w:tab/>
      </w:r>
      <w:r>
        <w:rPr>
          <w:rFonts w:hint="eastAsia"/>
          <w:sz w:val="24"/>
          <w:szCs w:val="24"/>
        </w:rPr>
        <w:fldChar w:fldCharType="begin"/>
      </w:r>
      <w:r>
        <w:rPr>
          <w:rFonts w:hint="eastAsia"/>
          <w:sz w:val="24"/>
          <w:szCs w:val="24"/>
        </w:rPr>
        <w:instrText xml:space="preserve"> PAGEREF _Toc1078413947 </w:instrText>
      </w:r>
      <w:r>
        <w:rPr>
          <w:rFonts w:hint="eastAsia"/>
          <w:sz w:val="24"/>
          <w:szCs w:val="24"/>
        </w:rPr>
        <w:fldChar w:fldCharType="separate"/>
      </w:r>
      <w:r>
        <w:rPr>
          <w:rFonts w:hint="eastAsia"/>
          <w:sz w:val="24"/>
          <w:szCs w:val="24"/>
        </w:rPr>
        <w:t>16</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"_Toc744208757" </w:instrText>
      </w:r>
      <w:r>
        <w:fldChar w:fldCharType="separate"/>
      </w:r>
      <w:r>
        <w:rPr>
          <w:rFonts w:hint="eastAsia"/>
          <w:sz w:val="24"/>
          <w:szCs w:val="24"/>
        </w:rPr>
        <w:t>11.</w:t>
      </w:r>
      <w:r>
        <w:rPr>
          <w:rFonts w:hint="eastAsia"/>
          <w:sz w:val="24"/>
          <w:szCs w:val="24"/>
          <w:lang w:val="en-US" w:eastAsia="zh-CN"/>
        </w:rPr>
        <w:t xml:space="preserve"> </w:t>
      </w:r>
      <w:r>
        <w:rPr>
          <w:rFonts w:hint="eastAsia"/>
          <w:sz w:val="24"/>
          <w:szCs w:val="24"/>
        </w:rPr>
        <w:t>《证券公司压力测试指引》</w:t>
      </w:r>
      <w:r>
        <w:rPr>
          <w:rFonts w:hint="eastAsia"/>
          <w:sz w:val="24"/>
          <w:szCs w:val="24"/>
        </w:rPr>
        <w:tab/>
      </w:r>
      <w:r>
        <w:rPr>
          <w:rFonts w:hint="eastAsia"/>
          <w:sz w:val="24"/>
          <w:szCs w:val="24"/>
        </w:rPr>
        <w:fldChar w:fldCharType="begin"/>
      </w:r>
      <w:r>
        <w:rPr>
          <w:rFonts w:hint="eastAsia"/>
          <w:sz w:val="24"/>
          <w:szCs w:val="24"/>
        </w:rPr>
        <w:instrText xml:space="preserve"> PAGEREF _Toc744208757 </w:instrText>
      </w:r>
      <w:r>
        <w:rPr>
          <w:rFonts w:hint="eastAsia"/>
          <w:sz w:val="24"/>
          <w:szCs w:val="24"/>
        </w:rPr>
        <w:fldChar w:fldCharType="separate"/>
      </w:r>
      <w:r>
        <w:rPr>
          <w:rFonts w:hint="eastAsia"/>
          <w:sz w:val="24"/>
          <w:szCs w:val="24"/>
        </w:rPr>
        <w:t>17</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"_Toc1972249554" </w:instrText>
      </w:r>
      <w:r>
        <w:fldChar w:fldCharType="separate"/>
      </w:r>
      <w:r>
        <w:rPr>
          <w:rFonts w:hint="eastAsia"/>
          <w:b/>
          <w:bCs/>
          <w:sz w:val="24"/>
          <w:szCs w:val="24"/>
        </w:rPr>
        <w:t>（四）信息技术保障</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_Toc1972249554 </w:instrText>
      </w:r>
      <w:r>
        <w:rPr>
          <w:rFonts w:hint="eastAsia"/>
          <w:b/>
          <w:bCs/>
          <w:sz w:val="24"/>
          <w:szCs w:val="24"/>
        </w:rPr>
        <w:fldChar w:fldCharType="separate"/>
      </w:r>
      <w:r>
        <w:rPr>
          <w:rFonts w:hint="eastAsia"/>
          <w:b/>
          <w:bCs/>
          <w:sz w:val="24"/>
          <w:szCs w:val="24"/>
        </w:rPr>
        <w:t>17</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"_Toc1322403705" </w:instrText>
      </w:r>
      <w:r>
        <w:fldChar w:fldCharType="separate"/>
      </w:r>
      <w:r>
        <w:rPr>
          <w:rFonts w:hint="eastAsia"/>
          <w:sz w:val="24"/>
          <w:szCs w:val="24"/>
        </w:rPr>
        <w:t>1．《证券基金经营机构信息技术管理办法》</w:t>
      </w:r>
      <w:r>
        <w:rPr>
          <w:rFonts w:hint="eastAsia"/>
          <w:sz w:val="24"/>
          <w:szCs w:val="24"/>
        </w:rPr>
        <w:tab/>
      </w:r>
      <w:r>
        <w:rPr>
          <w:rFonts w:hint="eastAsia"/>
          <w:sz w:val="24"/>
          <w:szCs w:val="24"/>
        </w:rPr>
        <w:fldChar w:fldCharType="begin"/>
      </w:r>
      <w:r>
        <w:rPr>
          <w:rFonts w:hint="eastAsia"/>
          <w:sz w:val="24"/>
          <w:szCs w:val="24"/>
        </w:rPr>
        <w:instrText xml:space="preserve"> PAGEREF _Toc1322403705 </w:instrText>
      </w:r>
      <w:r>
        <w:rPr>
          <w:rFonts w:hint="eastAsia"/>
          <w:sz w:val="24"/>
          <w:szCs w:val="24"/>
        </w:rPr>
        <w:fldChar w:fldCharType="separate"/>
      </w:r>
      <w:r>
        <w:rPr>
          <w:rFonts w:hint="eastAsia"/>
          <w:sz w:val="24"/>
          <w:szCs w:val="24"/>
        </w:rPr>
        <w:t>17</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"_Toc391204729" </w:instrText>
      </w:r>
      <w:r>
        <w:fldChar w:fldCharType="separate"/>
      </w:r>
      <w:r>
        <w:rPr>
          <w:rFonts w:hint="eastAsia"/>
          <w:sz w:val="24"/>
          <w:szCs w:val="24"/>
        </w:rPr>
        <w:t>2．《证券期货业网络和信息安全管理办法》</w:t>
      </w:r>
      <w:r>
        <w:rPr>
          <w:rFonts w:hint="eastAsia"/>
          <w:sz w:val="24"/>
          <w:szCs w:val="24"/>
        </w:rPr>
        <w:tab/>
      </w:r>
      <w:r>
        <w:rPr>
          <w:rFonts w:hint="eastAsia"/>
          <w:sz w:val="24"/>
          <w:szCs w:val="24"/>
        </w:rPr>
        <w:fldChar w:fldCharType="begin"/>
      </w:r>
      <w:r>
        <w:rPr>
          <w:rFonts w:hint="eastAsia"/>
          <w:sz w:val="24"/>
          <w:szCs w:val="24"/>
        </w:rPr>
        <w:instrText xml:space="preserve"> PAGEREF _Toc391204729 </w:instrText>
      </w:r>
      <w:r>
        <w:rPr>
          <w:rFonts w:hint="eastAsia"/>
          <w:sz w:val="24"/>
          <w:szCs w:val="24"/>
        </w:rPr>
        <w:fldChar w:fldCharType="separate"/>
      </w:r>
      <w:r>
        <w:rPr>
          <w:rFonts w:hint="eastAsia"/>
          <w:sz w:val="24"/>
          <w:szCs w:val="24"/>
        </w:rPr>
        <w:t>17</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"_Toc411155944" </w:instrText>
      </w:r>
      <w:r>
        <w:fldChar w:fldCharType="separate"/>
      </w:r>
      <w:r>
        <w:rPr>
          <w:rFonts w:hint="eastAsia"/>
          <w:b/>
          <w:bCs/>
          <w:sz w:val="24"/>
          <w:szCs w:val="24"/>
        </w:rPr>
        <w:t>（五）投资者保护</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_Toc411155944 </w:instrText>
      </w:r>
      <w:r>
        <w:rPr>
          <w:rFonts w:hint="eastAsia"/>
          <w:b/>
          <w:bCs/>
          <w:sz w:val="24"/>
          <w:szCs w:val="24"/>
        </w:rPr>
        <w:fldChar w:fldCharType="separate"/>
      </w:r>
      <w:r>
        <w:rPr>
          <w:rFonts w:hint="eastAsia"/>
          <w:b/>
          <w:bCs/>
          <w:sz w:val="24"/>
          <w:szCs w:val="24"/>
        </w:rPr>
        <w:t>18</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"_Toc1516824470" </w:instrText>
      </w:r>
      <w:r>
        <w:fldChar w:fldCharType="separate"/>
      </w:r>
      <w:r>
        <w:rPr>
          <w:rFonts w:hint="eastAsia"/>
          <w:sz w:val="24"/>
          <w:szCs w:val="24"/>
        </w:rPr>
        <w:t>1．《证券期货投资者适当性管理办法》及《证券经营机构投资者适当性管理实施指引（试行）》</w:t>
      </w:r>
      <w:r>
        <w:rPr>
          <w:rFonts w:hint="eastAsia"/>
          <w:sz w:val="24"/>
          <w:szCs w:val="24"/>
        </w:rPr>
        <w:tab/>
      </w:r>
      <w:r>
        <w:rPr>
          <w:rFonts w:hint="eastAsia"/>
          <w:sz w:val="24"/>
          <w:szCs w:val="24"/>
        </w:rPr>
        <w:fldChar w:fldCharType="begin"/>
      </w:r>
      <w:r>
        <w:rPr>
          <w:rFonts w:hint="eastAsia"/>
          <w:sz w:val="24"/>
          <w:szCs w:val="24"/>
        </w:rPr>
        <w:instrText xml:space="preserve"> PAGEREF _Toc1516824470 </w:instrText>
      </w:r>
      <w:r>
        <w:rPr>
          <w:rFonts w:hint="eastAsia"/>
          <w:sz w:val="24"/>
          <w:szCs w:val="24"/>
        </w:rPr>
        <w:fldChar w:fldCharType="separate"/>
      </w:r>
      <w:r>
        <w:rPr>
          <w:rFonts w:hint="eastAsia"/>
          <w:sz w:val="24"/>
          <w:szCs w:val="24"/>
        </w:rPr>
        <w:t>18</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"_Toc1069289080" </w:instrText>
      </w:r>
      <w:r>
        <w:fldChar w:fldCharType="separate"/>
      </w:r>
      <w:r>
        <w:rPr>
          <w:rFonts w:hint="eastAsia"/>
          <w:sz w:val="24"/>
          <w:szCs w:val="24"/>
        </w:rPr>
        <w:t>2．《证券经营机构投资者教育工作指引》</w:t>
      </w:r>
      <w:r>
        <w:rPr>
          <w:rFonts w:hint="eastAsia"/>
          <w:sz w:val="24"/>
          <w:szCs w:val="24"/>
        </w:rPr>
        <w:tab/>
      </w:r>
      <w:r>
        <w:rPr>
          <w:rFonts w:hint="eastAsia"/>
          <w:sz w:val="24"/>
          <w:szCs w:val="24"/>
        </w:rPr>
        <w:fldChar w:fldCharType="begin"/>
      </w:r>
      <w:r>
        <w:rPr>
          <w:rFonts w:hint="eastAsia"/>
          <w:sz w:val="24"/>
          <w:szCs w:val="24"/>
        </w:rPr>
        <w:instrText xml:space="preserve"> PAGEREF _Toc1069289080 </w:instrText>
      </w:r>
      <w:r>
        <w:rPr>
          <w:rFonts w:hint="eastAsia"/>
          <w:sz w:val="24"/>
          <w:szCs w:val="24"/>
        </w:rPr>
        <w:fldChar w:fldCharType="separate"/>
      </w:r>
      <w:r>
        <w:rPr>
          <w:rFonts w:hint="eastAsia"/>
          <w:sz w:val="24"/>
          <w:szCs w:val="24"/>
        </w:rPr>
        <w:t>18</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"_Toc646495649" </w:instrText>
      </w:r>
      <w:r>
        <w:fldChar w:fldCharType="separate"/>
      </w:r>
      <w:r>
        <w:rPr>
          <w:rFonts w:hint="eastAsia"/>
          <w:sz w:val="24"/>
          <w:szCs w:val="24"/>
        </w:rPr>
        <w:t>3．《证券公司投资者权益保护工作规范》</w:t>
      </w:r>
      <w:r>
        <w:rPr>
          <w:rFonts w:hint="eastAsia"/>
          <w:sz w:val="24"/>
          <w:szCs w:val="24"/>
        </w:rPr>
        <w:tab/>
      </w:r>
      <w:r>
        <w:rPr>
          <w:rFonts w:hint="eastAsia"/>
          <w:sz w:val="24"/>
          <w:szCs w:val="24"/>
        </w:rPr>
        <w:fldChar w:fldCharType="begin"/>
      </w:r>
      <w:r>
        <w:rPr>
          <w:rFonts w:hint="eastAsia"/>
          <w:sz w:val="24"/>
          <w:szCs w:val="24"/>
        </w:rPr>
        <w:instrText xml:space="preserve"> PAGEREF _Toc646495649 </w:instrText>
      </w:r>
      <w:r>
        <w:rPr>
          <w:rFonts w:hint="eastAsia"/>
          <w:sz w:val="24"/>
          <w:szCs w:val="24"/>
        </w:rPr>
        <w:fldChar w:fldCharType="separate"/>
      </w:r>
      <w:r>
        <w:rPr>
          <w:rFonts w:hint="eastAsia"/>
          <w:sz w:val="24"/>
          <w:szCs w:val="24"/>
        </w:rPr>
        <w:t>19</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"_Toc1674729008" </w:instrText>
      </w:r>
      <w:r>
        <w:fldChar w:fldCharType="separate"/>
      </w:r>
      <w:r>
        <w:rPr>
          <w:rFonts w:hint="eastAsia"/>
          <w:sz w:val="24"/>
          <w:szCs w:val="24"/>
        </w:rPr>
        <w:t>4．《证券基金期货经营机构投资者投诉处理工作指引（试行）》</w:t>
      </w:r>
      <w:r>
        <w:rPr>
          <w:rFonts w:hint="eastAsia"/>
          <w:sz w:val="24"/>
          <w:szCs w:val="24"/>
        </w:rPr>
        <w:tab/>
      </w:r>
      <w:r>
        <w:rPr>
          <w:rFonts w:hint="eastAsia"/>
          <w:sz w:val="24"/>
          <w:szCs w:val="24"/>
        </w:rPr>
        <w:fldChar w:fldCharType="begin"/>
      </w:r>
      <w:r>
        <w:rPr>
          <w:rFonts w:hint="eastAsia"/>
          <w:sz w:val="24"/>
          <w:szCs w:val="24"/>
        </w:rPr>
        <w:instrText xml:space="preserve"> PAGEREF _Toc1674729008 </w:instrText>
      </w:r>
      <w:r>
        <w:rPr>
          <w:rFonts w:hint="eastAsia"/>
          <w:sz w:val="24"/>
          <w:szCs w:val="24"/>
        </w:rPr>
        <w:fldChar w:fldCharType="separate"/>
      </w:r>
      <w:r>
        <w:rPr>
          <w:rFonts w:hint="eastAsia"/>
          <w:sz w:val="24"/>
          <w:szCs w:val="24"/>
        </w:rPr>
        <w:t>19</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b/>
          <w:bCs/>
          <w:sz w:val="24"/>
          <w:szCs w:val="24"/>
        </w:rPr>
      </w:pPr>
      <w:r>
        <w:fldChar w:fldCharType="begin"/>
      </w:r>
      <w:r>
        <w:instrText xml:space="preserve"> HYPERLINK \l "_Toc49599863" </w:instrText>
      </w:r>
      <w:r>
        <w:fldChar w:fldCharType="separate"/>
      </w:r>
      <w:r>
        <w:rPr>
          <w:rFonts w:hint="eastAsia"/>
          <w:b/>
          <w:bCs/>
          <w:sz w:val="24"/>
          <w:szCs w:val="24"/>
          <w:lang w:val="zh-CN"/>
        </w:rPr>
        <w:t>第三部分 行业文化、职业道德与从业人员行为规范类</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_Toc49599863 </w:instrText>
      </w:r>
      <w:r>
        <w:rPr>
          <w:rFonts w:hint="eastAsia"/>
          <w:b/>
          <w:bCs/>
          <w:sz w:val="24"/>
          <w:szCs w:val="24"/>
        </w:rPr>
        <w:fldChar w:fldCharType="separate"/>
      </w:r>
      <w:r>
        <w:rPr>
          <w:rFonts w:hint="eastAsia"/>
          <w:b/>
          <w:bCs/>
          <w:sz w:val="24"/>
          <w:szCs w:val="24"/>
        </w:rPr>
        <w:t>19</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"_Toc1814570514" </w:instrText>
      </w:r>
      <w:r>
        <w:fldChar w:fldCharType="separate"/>
      </w:r>
      <w:r>
        <w:rPr>
          <w:rFonts w:hint="eastAsia"/>
          <w:b/>
          <w:bCs/>
          <w:sz w:val="24"/>
          <w:szCs w:val="24"/>
        </w:rPr>
        <w:t>（一）行业文化建设</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_Toc1814570514 </w:instrText>
      </w:r>
      <w:r>
        <w:rPr>
          <w:rFonts w:hint="eastAsia"/>
          <w:b/>
          <w:bCs/>
          <w:sz w:val="24"/>
          <w:szCs w:val="24"/>
        </w:rPr>
        <w:fldChar w:fldCharType="separate"/>
      </w:r>
      <w:r>
        <w:rPr>
          <w:rFonts w:hint="eastAsia"/>
          <w:b/>
          <w:bCs/>
          <w:sz w:val="24"/>
          <w:szCs w:val="24"/>
        </w:rPr>
        <w:t>19</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"_Toc1732639801" </w:instrText>
      </w:r>
      <w:r>
        <w:fldChar w:fldCharType="separate"/>
      </w:r>
      <w:r>
        <w:rPr>
          <w:rFonts w:hint="eastAsia"/>
          <w:sz w:val="24"/>
          <w:szCs w:val="24"/>
        </w:rPr>
        <w:t>1．《建设证券基金行业文化、防范道德风险工作纲要（节选）》</w:t>
      </w:r>
      <w:r>
        <w:rPr>
          <w:rFonts w:hint="eastAsia"/>
          <w:sz w:val="24"/>
          <w:szCs w:val="24"/>
        </w:rPr>
        <w:tab/>
      </w:r>
      <w:r>
        <w:rPr>
          <w:rFonts w:hint="eastAsia"/>
          <w:sz w:val="24"/>
          <w:szCs w:val="24"/>
        </w:rPr>
        <w:fldChar w:fldCharType="begin"/>
      </w:r>
      <w:r>
        <w:rPr>
          <w:rFonts w:hint="eastAsia"/>
          <w:sz w:val="24"/>
          <w:szCs w:val="24"/>
        </w:rPr>
        <w:instrText xml:space="preserve"> PAGEREF _Toc1732639801 </w:instrText>
      </w:r>
      <w:r>
        <w:rPr>
          <w:rFonts w:hint="eastAsia"/>
          <w:sz w:val="24"/>
          <w:szCs w:val="24"/>
        </w:rPr>
        <w:fldChar w:fldCharType="separate"/>
      </w:r>
      <w:r>
        <w:rPr>
          <w:rFonts w:hint="eastAsia"/>
          <w:sz w:val="24"/>
          <w:szCs w:val="24"/>
        </w:rPr>
        <w:t>19</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"_Toc292980125" </w:instrText>
      </w:r>
      <w:r>
        <w:fldChar w:fldCharType="separate"/>
      </w:r>
      <w:r>
        <w:rPr>
          <w:rFonts w:hint="eastAsia"/>
          <w:sz w:val="24"/>
          <w:szCs w:val="24"/>
        </w:rPr>
        <w:t>2．《证券行业文化建设十要素》</w:t>
      </w:r>
      <w:r>
        <w:rPr>
          <w:rFonts w:hint="eastAsia"/>
          <w:sz w:val="24"/>
          <w:szCs w:val="24"/>
        </w:rPr>
        <w:tab/>
      </w:r>
      <w:r>
        <w:rPr>
          <w:rFonts w:hint="eastAsia"/>
          <w:sz w:val="24"/>
          <w:szCs w:val="24"/>
        </w:rPr>
        <w:fldChar w:fldCharType="begin"/>
      </w:r>
      <w:r>
        <w:rPr>
          <w:rFonts w:hint="eastAsia"/>
          <w:sz w:val="24"/>
          <w:szCs w:val="24"/>
        </w:rPr>
        <w:instrText xml:space="preserve"> PAGEREF _Toc292980125 </w:instrText>
      </w:r>
      <w:r>
        <w:rPr>
          <w:rFonts w:hint="eastAsia"/>
          <w:sz w:val="24"/>
          <w:szCs w:val="24"/>
        </w:rPr>
        <w:fldChar w:fldCharType="separate"/>
      </w:r>
      <w:r>
        <w:rPr>
          <w:rFonts w:hint="eastAsia"/>
          <w:sz w:val="24"/>
          <w:szCs w:val="24"/>
        </w:rPr>
        <w:t>19</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"_Toc339066931" </w:instrText>
      </w:r>
      <w:r>
        <w:fldChar w:fldCharType="separate"/>
      </w:r>
      <w:r>
        <w:rPr>
          <w:rFonts w:hint="eastAsia"/>
          <w:sz w:val="24"/>
          <w:szCs w:val="24"/>
        </w:rPr>
        <w:t>3．《证券公司文化建设实践评估办法（试行）》</w:t>
      </w:r>
      <w:r>
        <w:rPr>
          <w:rFonts w:hint="eastAsia"/>
          <w:sz w:val="24"/>
          <w:szCs w:val="24"/>
        </w:rPr>
        <w:tab/>
      </w:r>
      <w:r>
        <w:rPr>
          <w:rFonts w:hint="eastAsia"/>
          <w:sz w:val="24"/>
          <w:szCs w:val="24"/>
        </w:rPr>
        <w:fldChar w:fldCharType="begin"/>
      </w:r>
      <w:r>
        <w:rPr>
          <w:rFonts w:hint="eastAsia"/>
          <w:sz w:val="24"/>
          <w:szCs w:val="24"/>
        </w:rPr>
        <w:instrText xml:space="preserve"> PAGEREF _Toc339066931 </w:instrText>
      </w:r>
      <w:r>
        <w:rPr>
          <w:rFonts w:hint="eastAsia"/>
          <w:sz w:val="24"/>
          <w:szCs w:val="24"/>
        </w:rPr>
        <w:fldChar w:fldCharType="separate"/>
      </w:r>
      <w:r>
        <w:rPr>
          <w:rFonts w:hint="eastAsia"/>
          <w:sz w:val="24"/>
          <w:szCs w:val="24"/>
        </w:rPr>
        <w:t>20</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b/>
          <w:bCs/>
          <w:sz w:val="24"/>
          <w:szCs w:val="24"/>
        </w:rPr>
      </w:pPr>
      <w:r>
        <w:fldChar w:fldCharType="begin"/>
      </w:r>
      <w:r>
        <w:instrText xml:space="preserve"> HYPERLINK \l "_Toc2037234415" </w:instrText>
      </w:r>
      <w:r>
        <w:fldChar w:fldCharType="separate"/>
      </w:r>
      <w:r>
        <w:rPr>
          <w:rFonts w:hint="eastAsia"/>
          <w:b/>
          <w:bCs/>
          <w:sz w:val="24"/>
          <w:szCs w:val="24"/>
        </w:rPr>
        <w:t>（二）从业人员管理与职业道德</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_Toc2037234415 </w:instrText>
      </w:r>
      <w:r>
        <w:rPr>
          <w:rFonts w:hint="eastAsia"/>
          <w:b/>
          <w:bCs/>
          <w:sz w:val="24"/>
          <w:szCs w:val="24"/>
        </w:rPr>
        <w:fldChar w:fldCharType="separate"/>
      </w:r>
      <w:r>
        <w:rPr>
          <w:rFonts w:hint="eastAsia"/>
          <w:b/>
          <w:bCs/>
          <w:sz w:val="24"/>
          <w:szCs w:val="24"/>
        </w:rPr>
        <w:t>20</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"_Toc2014454367" </w:instrText>
      </w:r>
      <w:r>
        <w:fldChar w:fldCharType="separate"/>
      </w:r>
      <w:r>
        <w:rPr>
          <w:rFonts w:hint="eastAsia"/>
          <w:sz w:val="24"/>
          <w:szCs w:val="24"/>
        </w:rPr>
        <w:t>1．《证券基金经营机构董事、监事、高级管理人员及从业人员监督管理办法》及《证券公司董事、监事、高级管理人员及从业人员管理规则》</w:t>
      </w:r>
      <w:r>
        <w:rPr>
          <w:rFonts w:hint="eastAsia"/>
          <w:sz w:val="24"/>
          <w:szCs w:val="24"/>
        </w:rPr>
        <w:tab/>
      </w:r>
      <w:r>
        <w:rPr>
          <w:rFonts w:hint="eastAsia"/>
          <w:sz w:val="24"/>
          <w:szCs w:val="24"/>
        </w:rPr>
        <w:fldChar w:fldCharType="begin"/>
      </w:r>
      <w:r>
        <w:rPr>
          <w:rFonts w:hint="eastAsia"/>
          <w:sz w:val="24"/>
          <w:szCs w:val="24"/>
        </w:rPr>
        <w:instrText xml:space="preserve"> PAGEREF _Toc2014454367 </w:instrText>
      </w:r>
      <w:r>
        <w:rPr>
          <w:rFonts w:hint="eastAsia"/>
          <w:sz w:val="24"/>
          <w:szCs w:val="24"/>
        </w:rPr>
        <w:fldChar w:fldCharType="separate"/>
      </w:r>
      <w:r>
        <w:rPr>
          <w:rFonts w:hint="eastAsia"/>
          <w:sz w:val="24"/>
          <w:szCs w:val="24"/>
        </w:rPr>
        <w:t>20</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"_Toc1866941658" </w:instrText>
      </w:r>
      <w:r>
        <w:fldChar w:fldCharType="separate"/>
      </w:r>
      <w:r>
        <w:rPr>
          <w:rFonts w:hint="eastAsia"/>
          <w:sz w:val="24"/>
          <w:szCs w:val="24"/>
        </w:rPr>
        <w:t>2．《证券市场禁入规定》</w:t>
      </w:r>
      <w:r>
        <w:rPr>
          <w:rFonts w:hint="eastAsia"/>
          <w:sz w:val="24"/>
          <w:szCs w:val="24"/>
        </w:rPr>
        <w:tab/>
      </w:r>
      <w:r>
        <w:rPr>
          <w:rFonts w:hint="eastAsia"/>
          <w:sz w:val="24"/>
          <w:szCs w:val="24"/>
        </w:rPr>
        <w:fldChar w:fldCharType="begin"/>
      </w:r>
      <w:r>
        <w:rPr>
          <w:rFonts w:hint="eastAsia"/>
          <w:sz w:val="24"/>
          <w:szCs w:val="24"/>
        </w:rPr>
        <w:instrText xml:space="preserve"> PAGEREF _Toc1866941658 </w:instrText>
      </w:r>
      <w:r>
        <w:rPr>
          <w:rFonts w:hint="eastAsia"/>
          <w:sz w:val="24"/>
          <w:szCs w:val="24"/>
        </w:rPr>
        <w:fldChar w:fldCharType="separate"/>
      </w:r>
      <w:r>
        <w:rPr>
          <w:rFonts w:hint="eastAsia"/>
          <w:sz w:val="24"/>
          <w:szCs w:val="24"/>
        </w:rPr>
        <w:t>21</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"_Toc1316643798" </w:instrText>
      </w:r>
      <w:r>
        <w:fldChar w:fldCharType="separate"/>
      </w:r>
      <w:r>
        <w:rPr>
          <w:rFonts w:hint="eastAsia"/>
          <w:sz w:val="24"/>
          <w:szCs w:val="24"/>
        </w:rPr>
        <w:t>3．《证券从业人员职业道德准则》</w:t>
      </w:r>
      <w:r>
        <w:rPr>
          <w:rFonts w:hint="eastAsia"/>
          <w:sz w:val="24"/>
          <w:szCs w:val="24"/>
        </w:rPr>
        <w:tab/>
      </w:r>
      <w:r>
        <w:rPr>
          <w:rFonts w:hint="eastAsia"/>
          <w:sz w:val="24"/>
          <w:szCs w:val="24"/>
        </w:rPr>
        <w:fldChar w:fldCharType="begin"/>
      </w:r>
      <w:r>
        <w:rPr>
          <w:rFonts w:hint="eastAsia"/>
          <w:sz w:val="24"/>
          <w:szCs w:val="24"/>
        </w:rPr>
        <w:instrText xml:space="preserve"> PAGEREF _Toc1316643798 </w:instrText>
      </w:r>
      <w:r>
        <w:rPr>
          <w:rFonts w:hint="eastAsia"/>
          <w:sz w:val="24"/>
          <w:szCs w:val="24"/>
        </w:rPr>
        <w:fldChar w:fldCharType="separate"/>
      </w:r>
      <w:r>
        <w:rPr>
          <w:rFonts w:hint="eastAsia"/>
          <w:sz w:val="24"/>
          <w:szCs w:val="24"/>
        </w:rPr>
        <w:t>21</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b/>
          <w:bCs/>
          <w:sz w:val="24"/>
          <w:szCs w:val="24"/>
        </w:rPr>
      </w:pPr>
      <w:r>
        <w:fldChar w:fldCharType="begin"/>
      </w:r>
      <w:r>
        <w:instrText xml:space="preserve"> HYPERLINK \l "_Toc1929521296" </w:instrText>
      </w:r>
      <w:r>
        <w:fldChar w:fldCharType="separate"/>
      </w:r>
      <w:r>
        <w:rPr>
          <w:rFonts w:hint="eastAsia"/>
          <w:b/>
          <w:bCs/>
          <w:sz w:val="24"/>
          <w:szCs w:val="24"/>
        </w:rPr>
        <w:t>（三）廉洁从业与诚信管理</w:t>
      </w:r>
      <w:r>
        <w:rPr>
          <w:rFonts w:hint="eastAsia"/>
          <w:b/>
          <w:bCs/>
          <w:sz w:val="24"/>
          <w:szCs w:val="24"/>
        </w:rPr>
        <w:tab/>
      </w:r>
      <w:r>
        <w:rPr>
          <w:rFonts w:hint="eastAsia"/>
          <w:b/>
          <w:bCs/>
          <w:sz w:val="24"/>
          <w:szCs w:val="24"/>
        </w:rPr>
        <w:fldChar w:fldCharType="begin"/>
      </w:r>
      <w:r>
        <w:rPr>
          <w:rFonts w:hint="eastAsia"/>
          <w:b/>
          <w:bCs/>
          <w:sz w:val="24"/>
          <w:szCs w:val="24"/>
        </w:rPr>
        <w:instrText xml:space="preserve"> PAGEREF _Toc1929521296 </w:instrText>
      </w:r>
      <w:r>
        <w:rPr>
          <w:rFonts w:hint="eastAsia"/>
          <w:b/>
          <w:bCs/>
          <w:sz w:val="24"/>
          <w:szCs w:val="24"/>
        </w:rPr>
        <w:fldChar w:fldCharType="separate"/>
      </w:r>
      <w:r>
        <w:rPr>
          <w:rFonts w:hint="eastAsia"/>
          <w:b/>
          <w:bCs/>
          <w:sz w:val="24"/>
          <w:szCs w:val="24"/>
        </w:rPr>
        <w:t>21</w:t>
      </w:r>
      <w:r>
        <w:rPr>
          <w:rFonts w:hint="eastAsia"/>
          <w:b/>
          <w:bCs/>
          <w:sz w:val="24"/>
          <w:szCs w:val="24"/>
        </w:rPr>
        <w:fldChar w:fldCharType="end"/>
      </w:r>
      <w:r>
        <w:rPr>
          <w:rFonts w:hint="eastAsia"/>
          <w:b/>
          <w:bCs/>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"_Toc1504665543" </w:instrText>
      </w:r>
      <w:r>
        <w:fldChar w:fldCharType="separate"/>
      </w:r>
      <w:r>
        <w:rPr>
          <w:rFonts w:hint="eastAsia"/>
          <w:sz w:val="24"/>
          <w:szCs w:val="24"/>
        </w:rPr>
        <w:t>1．《证券期货经营机构及其工作人员廉洁从业规定》及《证券经营机构及其工作人员廉洁从业实施细则》</w:t>
      </w:r>
      <w:r>
        <w:rPr>
          <w:rFonts w:hint="eastAsia"/>
          <w:sz w:val="24"/>
          <w:szCs w:val="24"/>
        </w:rPr>
        <w:tab/>
      </w:r>
      <w:r>
        <w:rPr>
          <w:rFonts w:hint="eastAsia"/>
          <w:sz w:val="24"/>
          <w:szCs w:val="24"/>
        </w:rPr>
        <w:fldChar w:fldCharType="begin"/>
      </w:r>
      <w:r>
        <w:rPr>
          <w:rFonts w:hint="eastAsia"/>
          <w:sz w:val="24"/>
          <w:szCs w:val="24"/>
        </w:rPr>
        <w:instrText xml:space="preserve"> PAGEREF _Toc1504665543 </w:instrText>
      </w:r>
      <w:r>
        <w:rPr>
          <w:rFonts w:hint="eastAsia"/>
          <w:sz w:val="24"/>
          <w:szCs w:val="24"/>
        </w:rPr>
        <w:fldChar w:fldCharType="separate"/>
      </w:r>
      <w:r>
        <w:rPr>
          <w:rFonts w:hint="eastAsia"/>
          <w:sz w:val="24"/>
          <w:szCs w:val="24"/>
        </w:rPr>
        <w:t>22</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"_Toc1729030276" </w:instrText>
      </w:r>
      <w:r>
        <w:fldChar w:fldCharType="separate"/>
      </w:r>
      <w:r>
        <w:rPr>
          <w:rFonts w:hint="eastAsia"/>
          <w:sz w:val="24"/>
          <w:szCs w:val="24"/>
        </w:rPr>
        <w:t>2.</w:t>
      </w:r>
      <w:r>
        <w:rPr>
          <w:rFonts w:hint="eastAsia"/>
          <w:sz w:val="24"/>
          <w:szCs w:val="24"/>
          <w:lang w:val="en-US" w:eastAsia="zh-CN"/>
        </w:rPr>
        <w:t xml:space="preserve"> </w:t>
      </w:r>
      <w:r>
        <w:rPr>
          <w:rFonts w:hint="eastAsia"/>
          <w:sz w:val="24"/>
          <w:szCs w:val="24"/>
        </w:rPr>
        <w:t>《关于加强注册制下中介机构廉洁从业监管的意见》</w:t>
      </w:r>
      <w:r>
        <w:rPr>
          <w:rFonts w:hint="eastAsia"/>
          <w:sz w:val="24"/>
          <w:szCs w:val="24"/>
        </w:rPr>
        <w:tab/>
      </w:r>
      <w:r>
        <w:rPr>
          <w:rFonts w:hint="eastAsia"/>
          <w:sz w:val="24"/>
          <w:szCs w:val="24"/>
        </w:rPr>
        <w:fldChar w:fldCharType="begin"/>
      </w:r>
      <w:r>
        <w:rPr>
          <w:rFonts w:hint="eastAsia"/>
          <w:sz w:val="24"/>
          <w:szCs w:val="24"/>
        </w:rPr>
        <w:instrText xml:space="preserve"> PAGEREF _Toc1729030276 </w:instrText>
      </w:r>
      <w:r>
        <w:rPr>
          <w:rFonts w:hint="eastAsia"/>
          <w:sz w:val="24"/>
          <w:szCs w:val="24"/>
        </w:rPr>
        <w:fldChar w:fldCharType="separate"/>
      </w:r>
      <w:r>
        <w:rPr>
          <w:rFonts w:hint="eastAsia"/>
          <w:sz w:val="24"/>
          <w:szCs w:val="24"/>
        </w:rPr>
        <w:t>22</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"_Toc1000329707" </w:instrText>
      </w:r>
      <w:r>
        <w:fldChar w:fldCharType="separate"/>
      </w:r>
      <w:r>
        <w:rPr>
          <w:rFonts w:hint="eastAsia"/>
          <w:sz w:val="24"/>
          <w:szCs w:val="24"/>
        </w:rPr>
        <w:t>3.</w:t>
      </w:r>
      <w:r>
        <w:rPr>
          <w:rFonts w:hint="eastAsia"/>
          <w:sz w:val="24"/>
          <w:szCs w:val="24"/>
          <w:lang w:val="en-US" w:eastAsia="zh-CN"/>
        </w:rPr>
        <w:t xml:space="preserve"> </w:t>
      </w:r>
      <w:r>
        <w:rPr>
          <w:rFonts w:hint="eastAsia"/>
          <w:sz w:val="24"/>
          <w:szCs w:val="24"/>
        </w:rPr>
        <w:t>《关于加强证券公司在投资银行类业务中聘请第三方等廉洁从业风险防控的意见》</w:t>
      </w:r>
      <w:r>
        <w:rPr>
          <w:rFonts w:hint="eastAsia"/>
          <w:sz w:val="24"/>
          <w:szCs w:val="24"/>
        </w:rPr>
        <w:tab/>
      </w:r>
      <w:r>
        <w:rPr>
          <w:rFonts w:hint="eastAsia"/>
          <w:sz w:val="24"/>
          <w:szCs w:val="24"/>
        </w:rPr>
        <w:fldChar w:fldCharType="begin"/>
      </w:r>
      <w:r>
        <w:rPr>
          <w:rFonts w:hint="eastAsia"/>
          <w:sz w:val="24"/>
          <w:szCs w:val="24"/>
        </w:rPr>
        <w:instrText xml:space="preserve"> PAGEREF _Toc1000329707 </w:instrText>
      </w:r>
      <w:r>
        <w:rPr>
          <w:rFonts w:hint="eastAsia"/>
          <w:sz w:val="24"/>
          <w:szCs w:val="24"/>
        </w:rPr>
        <w:fldChar w:fldCharType="separate"/>
      </w:r>
      <w:r>
        <w:rPr>
          <w:rFonts w:hint="eastAsia"/>
          <w:sz w:val="24"/>
          <w:szCs w:val="24"/>
        </w:rPr>
        <w:t>23</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"_Toc1900047462" </w:instrText>
      </w:r>
      <w:r>
        <w:fldChar w:fldCharType="separate"/>
      </w:r>
      <w:r>
        <w:rPr>
          <w:rFonts w:hint="eastAsia"/>
          <w:sz w:val="24"/>
          <w:szCs w:val="24"/>
        </w:rPr>
        <w:t>4．《证券期货市场诚信监督管理办法》</w:t>
      </w:r>
      <w:r>
        <w:rPr>
          <w:rFonts w:hint="eastAsia"/>
          <w:sz w:val="24"/>
          <w:szCs w:val="24"/>
        </w:rPr>
        <w:tab/>
      </w:r>
      <w:r>
        <w:rPr>
          <w:rFonts w:hint="eastAsia"/>
          <w:sz w:val="24"/>
          <w:szCs w:val="24"/>
        </w:rPr>
        <w:fldChar w:fldCharType="begin"/>
      </w:r>
      <w:r>
        <w:rPr>
          <w:rFonts w:hint="eastAsia"/>
          <w:sz w:val="24"/>
          <w:szCs w:val="24"/>
        </w:rPr>
        <w:instrText xml:space="preserve"> PAGEREF _Toc1900047462 </w:instrText>
      </w:r>
      <w:r>
        <w:rPr>
          <w:rFonts w:hint="eastAsia"/>
          <w:sz w:val="24"/>
          <w:szCs w:val="24"/>
        </w:rPr>
        <w:fldChar w:fldCharType="separate"/>
      </w:r>
      <w:r>
        <w:rPr>
          <w:rFonts w:hint="eastAsia"/>
          <w:sz w:val="24"/>
          <w:szCs w:val="24"/>
        </w:rPr>
        <w:t>23</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sz w:val="24"/>
          <w:szCs w:val="24"/>
        </w:rPr>
      </w:pPr>
      <w:r>
        <w:fldChar w:fldCharType="begin"/>
      </w:r>
      <w:r>
        <w:instrText xml:space="preserve"> HYPERLINK \l "_Toc665907384" </w:instrText>
      </w:r>
      <w:r>
        <w:fldChar w:fldCharType="separate"/>
      </w:r>
      <w:r>
        <w:rPr>
          <w:rFonts w:hint="eastAsia"/>
          <w:sz w:val="24"/>
          <w:szCs w:val="24"/>
        </w:rPr>
        <w:t>5．《证券行业诚信准则》</w:t>
      </w:r>
      <w:r>
        <w:rPr>
          <w:rFonts w:hint="eastAsia"/>
          <w:sz w:val="24"/>
          <w:szCs w:val="24"/>
        </w:rPr>
        <w:tab/>
      </w:r>
      <w:r>
        <w:rPr>
          <w:rFonts w:hint="eastAsia"/>
          <w:sz w:val="24"/>
          <w:szCs w:val="24"/>
        </w:rPr>
        <w:fldChar w:fldCharType="begin"/>
      </w:r>
      <w:r>
        <w:rPr>
          <w:rFonts w:hint="eastAsia"/>
          <w:sz w:val="24"/>
          <w:szCs w:val="24"/>
        </w:rPr>
        <w:instrText xml:space="preserve"> PAGEREF _Toc665907384 </w:instrText>
      </w:r>
      <w:r>
        <w:rPr>
          <w:rFonts w:hint="eastAsia"/>
          <w:sz w:val="24"/>
          <w:szCs w:val="24"/>
        </w:rPr>
        <w:fldChar w:fldCharType="separate"/>
      </w:r>
      <w:r>
        <w:rPr>
          <w:rFonts w:hint="eastAsia"/>
          <w:sz w:val="24"/>
          <w:szCs w:val="24"/>
        </w:rPr>
        <w:t>23</w:t>
      </w:r>
      <w:r>
        <w:rPr>
          <w:rFonts w:hint="eastAsia"/>
          <w:sz w:val="24"/>
          <w:szCs w:val="24"/>
        </w:rPr>
        <w:fldChar w:fldCharType="end"/>
      </w:r>
      <w:r>
        <w:rPr>
          <w:rFonts w:hint="eastAsia"/>
          <w:sz w:val="24"/>
          <w:szCs w:val="24"/>
        </w:rPr>
        <w:fldChar w:fldCharType="end"/>
      </w:r>
    </w:p>
    <w:p>
      <w:pPr>
        <w:pStyle w:val="15"/>
        <w:tabs>
          <w:tab w:val="right" w:leader="dot" w:pos="8306"/>
        </w:tabs>
        <w:spacing w:line="360" w:lineRule="auto"/>
        <w:rPr>
          <w:rFonts w:asciiTheme="minorEastAsia" w:hAnsiTheme="minorEastAsia" w:eastAsiaTheme="minorEastAsia" w:cstheme="minorEastAsia"/>
          <w:sz w:val="24"/>
          <w:szCs w:val="24"/>
        </w:rPr>
      </w:pPr>
      <w:r>
        <w:fldChar w:fldCharType="begin"/>
      </w:r>
      <w:r>
        <w:instrText xml:space="preserve"> HYPERLINK \l "_Toc484202550" </w:instrText>
      </w:r>
      <w:r>
        <w:fldChar w:fldCharType="separate"/>
      </w:r>
      <w:r>
        <w:rPr>
          <w:rFonts w:hint="eastAsia"/>
          <w:sz w:val="24"/>
          <w:szCs w:val="24"/>
        </w:rPr>
        <w:t>6.</w:t>
      </w:r>
      <w:r>
        <w:rPr>
          <w:rFonts w:hint="eastAsia"/>
          <w:sz w:val="24"/>
          <w:szCs w:val="24"/>
          <w:lang w:val="en-US" w:eastAsia="zh-CN"/>
        </w:rPr>
        <w:t xml:space="preserve"> </w:t>
      </w:r>
      <w:r>
        <w:rPr>
          <w:rFonts w:hint="eastAsia"/>
          <w:sz w:val="24"/>
          <w:szCs w:val="24"/>
        </w:rPr>
        <w:t>《证券公司建立稳健薪酬制度指引》</w:t>
      </w:r>
      <w:r>
        <w:rPr>
          <w:rFonts w:hint="eastAsia"/>
          <w:sz w:val="24"/>
          <w:szCs w:val="24"/>
        </w:rPr>
        <w:tab/>
      </w:r>
      <w:r>
        <w:rPr>
          <w:rFonts w:hint="eastAsia"/>
          <w:sz w:val="24"/>
          <w:szCs w:val="24"/>
        </w:rPr>
        <w:fldChar w:fldCharType="begin"/>
      </w:r>
      <w:r>
        <w:rPr>
          <w:rFonts w:hint="eastAsia"/>
          <w:sz w:val="24"/>
          <w:szCs w:val="24"/>
        </w:rPr>
        <w:instrText xml:space="preserve"> PAGEREF _Toc484202550 </w:instrText>
      </w:r>
      <w:r>
        <w:rPr>
          <w:rFonts w:hint="eastAsia"/>
          <w:sz w:val="24"/>
          <w:szCs w:val="24"/>
        </w:rPr>
        <w:fldChar w:fldCharType="separate"/>
      </w:r>
      <w:r>
        <w:rPr>
          <w:rFonts w:hint="eastAsia"/>
          <w:sz w:val="24"/>
          <w:szCs w:val="24"/>
        </w:rPr>
        <w:t>23</w:t>
      </w:r>
      <w:r>
        <w:rPr>
          <w:rFonts w:hint="eastAsia"/>
          <w:sz w:val="24"/>
          <w:szCs w:val="24"/>
        </w:rPr>
        <w:fldChar w:fldCharType="end"/>
      </w:r>
      <w:r>
        <w:rPr>
          <w:rFonts w:hint="eastAsia"/>
          <w:sz w:val="24"/>
          <w:szCs w:val="24"/>
        </w:rPr>
        <w:fldChar w:fldCharType="end"/>
      </w:r>
    </w:p>
    <w:p>
      <w:pPr>
        <w:spacing w:line="360" w:lineRule="auto"/>
        <w:sectPr>
          <w:footerReference r:id="rId9"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sz w:val="24"/>
          <w:szCs w:val="24"/>
        </w:rPr>
        <w:fldChar w:fldCharType="end"/>
      </w:r>
    </w:p>
    <w:p>
      <w:pPr>
        <w:pStyle w:val="2"/>
        <w:spacing w:before="312" w:after="312"/>
        <w:rPr>
          <w:rFonts w:hint="default"/>
          <w:lang w:val="zh-CN"/>
        </w:rPr>
      </w:pPr>
      <w:bookmarkStart w:id="14" w:name="_Toc19139"/>
      <w:bookmarkStart w:id="15" w:name="_Toc1122298416"/>
      <w:bookmarkStart w:id="16" w:name="_Toc13309"/>
      <w:bookmarkStart w:id="17" w:name="_Toc11914"/>
      <w:bookmarkStart w:id="18" w:name="_Toc465953077"/>
      <w:bookmarkStart w:id="19" w:name="_Toc2591"/>
      <w:bookmarkStart w:id="20" w:name="_Toc27475"/>
      <w:bookmarkStart w:id="21" w:name="_Toc1667414076"/>
      <w:bookmarkStart w:id="22" w:name="_Toc17889"/>
      <w:bookmarkStart w:id="23" w:name="_Toc13036"/>
      <w:bookmarkStart w:id="24" w:name="_Toc24649"/>
      <w:bookmarkStart w:id="25" w:name="_Toc1936"/>
      <w:bookmarkStart w:id="26" w:name="_Toc109809349"/>
      <w:r>
        <w:rPr>
          <w:lang w:val="zh-CN"/>
        </w:rPr>
        <w:t>第一部分 综合类</w:t>
      </w:r>
      <w:bookmarkEnd w:id="14"/>
      <w:bookmarkEnd w:id="15"/>
      <w:bookmarkEnd w:id="16"/>
      <w:bookmarkEnd w:id="17"/>
      <w:bookmarkEnd w:id="18"/>
      <w:bookmarkEnd w:id="19"/>
      <w:bookmarkEnd w:id="20"/>
      <w:bookmarkEnd w:id="21"/>
      <w:bookmarkEnd w:id="22"/>
      <w:bookmarkEnd w:id="23"/>
      <w:bookmarkEnd w:id="24"/>
      <w:bookmarkEnd w:id="25"/>
      <w:bookmarkEnd w:id="26"/>
    </w:p>
    <w:p>
      <w:pPr>
        <w:pStyle w:val="3"/>
        <w:ind w:firstLine="602"/>
        <w:rPr>
          <w:rFonts w:hint="default"/>
        </w:rPr>
      </w:pPr>
      <w:bookmarkStart w:id="27" w:name="_Toc14395"/>
      <w:bookmarkStart w:id="28" w:name="_Toc7568"/>
      <w:bookmarkStart w:id="29" w:name="_Toc978556592"/>
      <w:bookmarkStart w:id="30" w:name="_Toc2119589069"/>
      <w:bookmarkStart w:id="31" w:name="_Toc341076334"/>
      <w:bookmarkStart w:id="32" w:name="_Toc3887"/>
      <w:bookmarkStart w:id="33" w:name="_Toc1098"/>
      <w:bookmarkStart w:id="34" w:name="_Toc20035"/>
      <w:bookmarkStart w:id="35" w:name="_Toc6341"/>
      <w:bookmarkStart w:id="36" w:name="_Toc7938"/>
      <w:bookmarkStart w:id="37" w:name="_Toc15902"/>
      <w:bookmarkStart w:id="38" w:name="_Toc1711"/>
      <w:bookmarkStart w:id="39" w:name="_Toc109809350"/>
      <w:r>
        <w:t>（一）党中央、国务院重大决策部署</w:t>
      </w:r>
      <w:bookmarkEnd w:id="27"/>
      <w:bookmarkEnd w:id="28"/>
      <w:bookmarkEnd w:id="29"/>
      <w:bookmarkEnd w:id="30"/>
      <w:bookmarkEnd w:id="31"/>
      <w:bookmarkEnd w:id="32"/>
    </w:p>
    <w:p>
      <w:pPr>
        <w:pStyle w:val="4"/>
        <w:ind w:firstLine="602"/>
        <w:rPr>
          <w:rFonts w:ascii="仿宋_GB2312" w:hAnsi="仿宋_GB2312" w:cs="仿宋_GB2312"/>
        </w:rPr>
      </w:pPr>
      <w:bookmarkStart w:id="40" w:name="_Toc103998759"/>
      <w:bookmarkStart w:id="41" w:name="_Toc715900841"/>
      <w:bookmarkStart w:id="42" w:name="_Toc52764723"/>
      <w:bookmarkStart w:id="43" w:name="_Toc1065136269"/>
      <w:bookmarkStart w:id="44" w:name="_Toc1599305499"/>
      <w:bookmarkStart w:id="45" w:name="_Toc257332805"/>
      <w:bookmarkStart w:id="46" w:name="_Toc552945294"/>
      <w:bookmarkStart w:id="47" w:name="_Toc20938101"/>
      <w:bookmarkStart w:id="48" w:name="_Toc7689"/>
      <w:bookmarkStart w:id="49" w:name="_Toc29957"/>
      <w:bookmarkStart w:id="50" w:name="_Toc22782"/>
      <w:r>
        <w:rPr>
          <w:rFonts w:hint="eastAsia" w:ascii="仿宋_GB2312" w:hAnsi="仿宋_GB2312" w:cs="仿宋_GB2312"/>
        </w:rPr>
        <w:t>1. 习近平</w:t>
      </w:r>
      <w:r>
        <w:rPr>
          <w:rFonts w:hint="eastAsia" w:ascii="仿宋_GB2312" w:hAnsi="仿宋_GB2312" w:cs="仿宋_GB2312"/>
          <w:lang w:eastAsia="zh-CN"/>
        </w:rPr>
        <w:t>总书记</w:t>
      </w:r>
      <w:r>
        <w:rPr>
          <w:rFonts w:hint="eastAsia" w:ascii="仿宋_GB2312" w:hAnsi="仿宋_GB2312" w:cs="仿宋_GB2312"/>
        </w:rPr>
        <w:t>关于金融工作的重要论述</w:t>
      </w:r>
      <w:bookmarkEnd w:id="40"/>
      <w:bookmarkEnd w:id="41"/>
      <w:bookmarkEnd w:id="42"/>
      <w:bookmarkEnd w:id="43"/>
      <w:bookmarkEnd w:id="44"/>
      <w:bookmarkEnd w:id="45"/>
      <w:bookmarkEnd w:id="46"/>
      <w:bookmarkEnd w:id="47"/>
    </w:p>
    <w:p>
      <w:pPr>
        <w:ind w:firstLine="600"/>
        <w:rPr>
          <w:rFonts w:ascii="Times New Roman" w:eastAsia="仿宋_GB2312"/>
          <w:color w:val="000000"/>
          <w:sz w:val="30"/>
          <w:szCs w:val="30"/>
        </w:rPr>
      </w:pPr>
      <w:bookmarkStart w:id="51" w:name="_Toc315350512"/>
      <w:r>
        <w:rPr>
          <w:rFonts w:ascii="Times New Roman" w:eastAsia="仿宋_GB2312"/>
          <w:color w:val="000000"/>
          <w:sz w:val="30"/>
          <w:szCs w:val="30"/>
        </w:rPr>
        <w:t>掌握关于推进金融高质量发展、加快建设金融强国的论述；掌握关于坚持党中央对金融工作集中统一领导的论述；掌握关于坚持以人民为中心的价值取向的论述；掌握关于坚持把金融服务实体经济作为根本宗旨的论述；掌握关于坚持把防控风险作为金融工作永恒主题的论述；掌握关于坚持在市场化法治化轨道上推进金融创新发展的论述；掌握关于坚持深化金融供给侧结构性改革的论述；掌握关于坚持统筹金融开放和安全的论述；掌握</w:t>
      </w:r>
      <w:r>
        <w:rPr>
          <w:rFonts w:hint="eastAsia" w:ascii="Times New Roman" w:eastAsia="仿宋_GB2312"/>
          <w:color w:val="000000"/>
          <w:sz w:val="30"/>
          <w:szCs w:val="30"/>
          <w:lang w:eastAsia="zh-CN"/>
        </w:rPr>
        <w:t>关于</w:t>
      </w:r>
      <w:r>
        <w:rPr>
          <w:rFonts w:ascii="Times New Roman" w:eastAsia="仿宋_GB2312"/>
          <w:color w:val="000000"/>
          <w:sz w:val="30"/>
          <w:szCs w:val="30"/>
        </w:rPr>
        <w:t>坚持稳中求进工作总基调的论述；掌握</w:t>
      </w:r>
      <w:r>
        <w:rPr>
          <w:rFonts w:hint="eastAsia" w:ascii="Times New Roman" w:eastAsia="仿宋_GB2312"/>
          <w:color w:val="000000"/>
          <w:sz w:val="30"/>
          <w:szCs w:val="30"/>
          <w:lang w:eastAsia="zh-CN"/>
        </w:rPr>
        <w:t>关于</w:t>
      </w:r>
      <w:r>
        <w:rPr>
          <w:rFonts w:ascii="Times New Roman" w:eastAsia="仿宋_GB2312"/>
          <w:color w:val="000000"/>
          <w:sz w:val="30"/>
          <w:szCs w:val="30"/>
        </w:rPr>
        <w:t>积极培育中国特色金融文化的论述。</w:t>
      </w:r>
      <w:bookmarkEnd w:id="51"/>
    </w:p>
    <w:p>
      <w:pPr>
        <w:keepNext/>
        <w:keepLines/>
        <w:ind w:firstLine="602" w:firstLineChars="200"/>
        <w:jc w:val="left"/>
        <w:outlineLvl w:val="2"/>
        <w:rPr>
          <w:rFonts w:ascii="仿宋_GB2312" w:hAnsi="仿宋_GB2312" w:eastAsia="仿宋_GB2312" w:cs="仿宋_GB2312"/>
          <w:b/>
          <w:sz w:val="30"/>
          <w:lang w:val="zh-CN"/>
        </w:rPr>
      </w:pPr>
      <w:bookmarkStart w:id="52" w:name="_Toc1535002820"/>
      <w:bookmarkStart w:id="53" w:name="_Toc1132977094"/>
      <w:bookmarkStart w:id="54" w:name="_Toc1752023506"/>
      <w:r>
        <w:rPr>
          <w:rFonts w:hint="eastAsia" w:ascii="仿宋_GB2312" w:hAnsi="仿宋_GB2312" w:eastAsia="仿宋_GB2312" w:cs="仿宋_GB2312"/>
          <w:b/>
          <w:sz w:val="30"/>
        </w:rPr>
        <w:t>2</w:t>
      </w:r>
      <w:r>
        <w:rPr>
          <w:rFonts w:hint="eastAsia" w:ascii="仿宋_GB2312" w:hAnsi="仿宋_GB2312" w:eastAsia="仿宋_GB2312" w:cs="仿宋_GB2312"/>
          <w:b/>
          <w:sz w:val="30"/>
          <w:lang w:val="zh-CN"/>
        </w:rPr>
        <w:t>.</w:t>
      </w:r>
      <w:r>
        <w:rPr>
          <w:rFonts w:hint="eastAsia" w:ascii="仿宋_GB2312" w:hAnsi="仿宋_GB2312" w:eastAsia="仿宋_GB2312" w:cs="仿宋_GB2312"/>
          <w:b/>
          <w:sz w:val="30"/>
          <w:lang w:val="en-US" w:eastAsia="zh-CN"/>
        </w:rPr>
        <w:t xml:space="preserve"> </w:t>
      </w:r>
      <w:r>
        <w:rPr>
          <w:rFonts w:hint="eastAsia" w:ascii="仿宋_GB2312" w:hAnsi="仿宋_GB2312" w:eastAsia="仿宋_GB2312" w:cs="仿宋_GB2312"/>
          <w:b/>
          <w:sz w:val="30"/>
          <w:lang w:val="zh-CN"/>
        </w:rPr>
        <w:t>《国务院关于加强监管防范风险推动资本市场高质量发展的若干意见》（国发</w:t>
      </w:r>
      <w:r>
        <w:rPr>
          <w:rFonts w:hint="eastAsia" w:ascii="仿宋_GB2312" w:hAnsi="仿宋_GB2312" w:eastAsia="仿宋_GB2312" w:cs="仿宋_GB2312"/>
          <w:b/>
          <w:i w:val="0"/>
          <w:caps w:val="0"/>
          <w:spacing w:val="0"/>
          <w:kern w:val="2"/>
          <w:sz w:val="30"/>
          <w:szCs w:val="22"/>
          <w:shd w:val="clear"/>
          <w:lang w:val="zh-CN" w:eastAsia="zh-CN" w:bidi="ar"/>
        </w:rPr>
        <w:t>〔2024〕10号</w:t>
      </w:r>
      <w:r>
        <w:rPr>
          <w:rFonts w:hint="eastAsia" w:ascii="仿宋_GB2312" w:hAnsi="仿宋_GB2312" w:eastAsia="仿宋_GB2312" w:cs="仿宋_GB2312"/>
          <w:b/>
          <w:sz w:val="30"/>
          <w:lang w:val="zh-CN"/>
        </w:rPr>
        <w:t>）</w:t>
      </w:r>
      <w:bookmarkEnd w:id="48"/>
      <w:bookmarkEnd w:id="49"/>
      <w:bookmarkEnd w:id="50"/>
      <w:bookmarkEnd w:id="52"/>
      <w:bookmarkEnd w:id="53"/>
      <w:bookmarkEnd w:id="54"/>
    </w:p>
    <w:p>
      <w:pPr>
        <w:ind w:firstLine="600"/>
        <w:rPr>
          <w:rFonts w:ascii="Times New Roman" w:eastAsia="仿宋_GB2312"/>
          <w:color w:val="000000"/>
          <w:sz w:val="30"/>
          <w:szCs w:val="30"/>
        </w:rPr>
      </w:pPr>
      <w:bookmarkStart w:id="55" w:name="_Toc532263"/>
      <w:bookmarkStart w:id="56" w:name="_Toc2251"/>
      <w:bookmarkStart w:id="57" w:name="_Toc211850450"/>
      <w:bookmarkStart w:id="58" w:name="_Toc7865"/>
      <w:bookmarkStart w:id="59" w:name="_Toc543"/>
      <w:r>
        <w:rPr>
          <w:rFonts w:hint="eastAsia" w:ascii="Times New Roman" w:eastAsia="仿宋_GB2312"/>
          <w:color w:val="000000"/>
          <w:sz w:val="30"/>
          <w:szCs w:val="30"/>
        </w:rPr>
        <w:t>掌握推动资本市场高质量发展的总体要求；熟悉严把发行上市准入关、严格上市公司持续监管、加大退市力度的指导意见；熟悉推动行业回归本源、做优做强、增强资本市场内在稳定性的指导意见；熟悉推动中长期资金入市、进一步全面深化改革开放、形成促进资本市场高质量发展合力的指导意见。</w:t>
      </w:r>
      <w:bookmarkEnd w:id="55"/>
    </w:p>
    <w:bookmarkEnd w:id="56"/>
    <w:bookmarkEnd w:id="57"/>
    <w:bookmarkEnd w:id="58"/>
    <w:bookmarkEnd w:id="59"/>
    <w:p>
      <w:pPr>
        <w:keepNext/>
        <w:keepLines/>
        <w:ind w:firstLine="602" w:firstLineChars="200"/>
        <w:jc w:val="left"/>
        <w:outlineLvl w:val="2"/>
        <w:rPr>
          <w:rFonts w:ascii="仿宋_GB2312" w:hAnsi="仿宋_GB2312" w:eastAsia="仿宋_GB2312" w:cs="仿宋_GB2312"/>
          <w:b/>
          <w:sz w:val="30"/>
        </w:rPr>
      </w:pPr>
      <w:bookmarkStart w:id="60" w:name="_Toc633611631"/>
      <w:bookmarkStart w:id="61" w:name="_Toc1303225130"/>
      <w:r>
        <w:rPr>
          <w:rFonts w:hint="eastAsia" w:ascii="仿宋_GB2312" w:hAnsi="仿宋_GB2312" w:eastAsia="仿宋_GB2312" w:cs="仿宋_GB2312"/>
          <w:b/>
          <w:sz w:val="30"/>
        </w:rPr>
        <w:t xml:space="preserve">3. </w:t>
      </w:r>
      <w:r>
        <w:rPr>
          <w:rFonts w:ascii="仿宋_GB2312" w:hAnsi="仿宋_GB2312" w:eastAsia="仿宋_GB2312" w:cs="仿宋_GB2312"/>
          <w:b/>
          <w:sz w:val="30"/>
          <w:lang w:val="zh-CN"/>
        </w:rPr>
        <w:t>《关于依法从严打击证券违法活动的意见》（中共中央办公厅 国务院办公厅2021年7月6日印发）</w:t>
      </w:r>
      <w:bookmarkEnd w:id="60"/>
      <w:bookmarkEnd w:id="61"/>
    </w:p>
    <w:p>
      <w:pPr>
        <w:ind w:firstLine="600" w:firstLineChars="200"/>
        <w:rPr>
          <w:rFonts w:eastAsia="仿宋_GB2312"/>
          <w:sz w:val="30"/>
        </w:rPr>
      </w:pPr>
      <w:r>
        <w:rPr>
          <w:rFonts w:eastAsia="仿宋_GB2312"/>
          <w:sz w:val="30"/>
        </w:rPr>
        <w:t>了解依法从严打击证券违法活动的总体要求；了解完善资本市场违法犯罪法律责任制度体系的主要内容；熟悉强化重大证券违法犯罪案件惩治和重点领域执法的主要内容；掌握加强资本市场信用体系建设的主要内容。</w:t>
      </w:r>
    </w:p>
    <w:p>
      <w:pPr>
        <w:pStyle w:val="3"/>
        <w:ind w:firstLine="602"/>
        <w:rPr>
          <w:rFonts w:hint="default"/>
        </w:rPr>
      </w:pPr>
      <w:bookmarkStart w:id="62" w:name="_Toc23574"/>
      <w:bookmarkStart w:id="63" w:name="_Toc14859"/>
      <w:bookmarkStart w:id="64" w:name="_Toc757658035"/>
      <w:bookmarkStart w:id="65" w:name="_Toc6758"/>
      <w:bookmarkStart w:id="66" w:name="_Toc1690347537"/>
      <w:bookmarkStart w:id="67" w:name="_Toc447011251"/>
      <w:r>
        <w:t>（二）法律</w:t>
      </w:r>
      <w:bookmarkEnd w:id="33"/>
      <w:bookmarkEnd w:id="34"/>
      <w:bookmarkEnd w:id="35"/>
      <w:bookmarkEnd w:id="36"/>
      <w:bookmarkEnd w:id="37"/>
      <w:bookmarkEnd w:id="38"/>
      <w:bookmarkEnd w:id="39"/>
      <w:bookmarkEnd w:id="62"/>
      <w:bookmarkEnd w:id="63"/>
      <w:bookmarkEnd w:id="64"/>
      <w:bookmarkEnd w:id="65"/>
      <w:bookmarkEnd w:id="66"/>
      <w:bookmarkEnd w:id="67"/>
    </w:p>
    <w:p>
      <w:pPr>
        <w:pStyle w:val="4"/>
        <w:ind w:firstLine="602"/>
      </w:pPr>
      <w:bookmarkStart w:id="68" w:name="_Toc109809351"/>
      <w:bookmarkStart w:id="69" w:name="_Toc6715"/>
      <w:bookmarkStart w:id="70" w:name="_Toc6833"/>
      <w:bookmarkStart w:id="71" w:name="_Toc26754"/>
      <w:bookmarkStart w:id="72" w:name="_Toc14259"/>
      <w:bookmarkStart w:id="73" w:name="_Toc30378"/>
      <w:bookmarkStart w:id="74" w:name="_Toc30857"/>
      <w:bookmarkStart w:id="75" w:name="_Toc3731"/>
      <w:bookmarkStart w:id="76" w:name="_Toc21641"/>
      <w:bookmarkStart w:id="77" w:name="_Toc1655791478"/>
      <w:bookmarkStart w:id="78" w:name="_Toc671974278"/>
      <w:bookmarkStart w:id="79" w:name="_Toc3495280"/>
      <w:bookmarkStart w:id="80" w:name="_Toc32205"/>
      <w:bookmarkStart w:id="81" w:name="_Toc22446"/>
      <w:r>
        <w:rPr>
          <w:rFonts w:hint="eastAsia" w:ascii="仿宋_GB2312" w:hAnsi="仿宋_GB2312" w:cs="仿宋_GB2312"/>
        </w:rPr>
        <w:t>1</w:t>
      </w:r>
      <w:r>
        <w:rPr>
          <w:rFonts w:ascii="仿宋_GB2312" w:hAnsi="仿宋_GB2312" w:cs="仿宋_GB2312"/>
        </w:rPr>
        <w:t>．《中华人民共和国公司法》（1993年12月29日</w:t>
      </w:r>
      <w:r>
        <w:rPr>
          <w:rFonts w:hint="eastAsia" w:ascii="仿宋_GB2312" w:hAnsi="仿宋_GB2312" w:cs="仿宋_GB2312"/>
        </w:rPr>
        <w:t>公布</w:t>
      </w:r>
      <w:r>
        <w:rPr>
          <w:rFonts w:ascii="仿宋_GB2312" w:hAnsi="仿宋_GB2312" w:cs="仿宋_GB2312"/>
        </w:rPr>
        <w:t>，</w:t>
      </w:r>
      <w:r>
        <w:rPr>
          <w:rFonts w:hint="eastAsia" w:ascii="仿宋_GB2312" w:hAnsi="仿宋_GB2312" w:cs="仿宋_GB2312"/>
        </w:rPr>
        <w:t>2023年12月29日最新修订，2024年7月1日起施行</w:t>
      </w:r>
      <w:r>
        <w:rPr>
          <w:rFonts w:ascii="仿宋_GB2312" w:hAnsi="仿宋_GB2312" w:cs="仿宋_GB2312"/>
        </w:rPr>
        <w:t>）</w:t>
      </w:r>
      <w:bookmarkEnd w:id="68"/>
      <w:bookmarkEnd w:id="69"/>
      <w:bookmarkEnd w:id="70"/>
      <w:bookmarkEnd w:id="71"/>
      <w:bookmarkEnd w:id="72"/>
      <w:bookmarkEnd w:id="73"/>
      <w:bookmarkEnd w:id="74"/>
      <w:bookmarkEnd w:id="75"/>
      <w:bookmarkEnd w:id="76"/>
      <w:bookmarkEnd w:id="77"/>
      <w:bookmarkEnd w:id="78"/>
      <w:bookmarkEnd w:id="79"/>
    </w:p>
    <w:p>
      <w:pPr>
        <w:ind w:firstLine="600" w:firstLineChars="200"/>
        <w:rPr>
          <w:rFonts w:ascii="Times New Roman" w:hAnsi="Times New Roman" w:eastAsia="仿宋_GB2312"/>
          <w:color w:val="000000"/>
          <w:sz w:val="30"/>
          <w:szCs w:val="30"/>
        </w:rPr>
      </w:pPr>
      <w:r>
        <w:rPr>
          <w:rFonts w:ascii="Times New Roman" w:eastAsia="仿宋_GB2312"/>
          <w:color w:val="000000"/>
          <w:sz w:val="30"/>
          <w:szCs w:val="30"/>
        </w:rPr>
        <w:t>掌握公司种类；</w:t>
      </w:r>
      <w:r>
        <w:rPr>
          <w:rFonts w:hint="eastAsia" w:ascii="Times New Roman" w:eastAsia="仿宋_GB2312"/>
          <w:color w:val="000000"/>
          <w:sz w:val="30"/>
          <w:szCs w:val="30"/>
        </w:rPr>
        <w:t>了解资本认缴出资时间、方式、加速到期等相关规定；掌握公司类别股、不同类别股股东权利及权利保护的内容</w:t>
      </w:r>
      <w:r>
        <w:rPr>
          <w:rFonts w:ascii="Times New Roman" w:eastAsia="仿宋_GB2312"/>
          <w:color w:val="000000"/>
          <w:sz w:val="30"/>
          <w:szCs w:val="30"/>
        </w:rPr>
        <w:t>；熟悉公司法人财产权概念；熟悉分公司和子公司的法律地位；掌握公司对外投资和担保的规定；</w:t>
      </w:r>
      <w:r>
        <w:rPr>
          <w:rFonts w:hint="eastAsia" w:ascii="Times New Roman" w:eastAsia="仿宋_GB2312"/>
          <w:color w:val="000000"/>
          <w:sz w:val="30"/>
          <w:szCs w:val="30"/>
        </w:rPr>
        <w:t>熟悉公司登记相关规定；</w:t>
      </w:r>
      <w:r>
        <w:rPr>
          <w:rFonts w:ascii="Times New Roman" w:eastAsia="仿宋_GB2312"/>
          <w:color w:val="000000"/>
          <w:sz w:val="30"/>
          <w:szCs w:val="30"/>
        </w:rPr>
        <w:t>熟悉有限责任公司股东会召集和主持制度的规定；</w:t>
      </w:r>
      <w:r>
        <w:rPr>
          <w:rFonts w:hint="eastAsia" w:ascii="Times New Roman" w:eastAsia="仿宋_GB2312"/>
          <w:color w:val="000000"/>
          <w:sz w:val="30"/>
          <w:szCs w:val="30"/>
        </w:rPr>
        <w:t>掌握董事会组成、任期、职权的规定以及董事长职权的规定</w:t>
      </w:r>
      <w:r>
        <w:rPr>
          <w:rFonts w:ascii="Times New Roman" w:eastAsia="仿宋_GB2312"/>
          <w:color w:val="000000"/>
          <w:sz w:val="30"/>
          <w:szCs w:val="30"/>
        </w:rPr>
        <w:t>；掌握股份有限公司股东会的性质和地位；</w:t>
      </w:r>
      <w:r>
        <w:rPr>
          <w:rFonts w:hint="eastAsia" w:ascii="Times New Roman" w:eastAsia="仿宋_GB2312"/>
          <w:color w:val="000000"/>
          <w:sz w:val="30"/>
          <w:szCs w:val="30"/>
        </w:rPr>
        <w:t>熟悉监事会设立及可不设监事、监事会的相关规定；熟悉国资公司特别规定；</w:t>
      </w:r>
      <w:r>
        <w:rPr>
          <w:rFonts w:ascii="Times New Roman" w:eastAsia="仿宋_GB2312"/>
          <w:color w:val="000000"/>
          <w:sz w:val="30"/>
          <w:szCs w:val="30"/>
        </w:rPr>
        <w:t>熟悉公司利润分配的规定</w:t>
      </w:r>
      <w:r>
        <w:rPr>
          <w:rFonts w:hint="eastAsia" w:ascii="Times New Roman" w:eastAsia="仿宋_GB2312"/>
          <w:color w:val="000000"/>
          <w:sz w:val="30"/>
          <w:szCs w:val="30"/>
        </w:rPr>
        <w:t>；掌握公司、股东、实控人及董监高责任</w:t>
      </w:r>
      <w:r>
        <w:rPr>
          <w:rFonts w:ascii="Times New Roman" w:eastAsia="仿宋_GB2312"/>
          <w:color w:val="000000"/>
          <w:sz w:val="30"/>
          <w:szCs w:val="30"/>
        </w:rPr>
        <w:t>。</w:t>
      </w:r>
    </w:p>
    <w:p>
      <w:pPr>
        <w:pStyle w:val="4"/>
        <w:ind w:firstLine="602"/>
      </w:pPr>
      <w:bookmarkStart w:id="82" w:name="_Toc10395"/>
      <w:bookmarkStart w:id="83" w:name="_Toc28812"/>
      <w:bookmarkStart w:id="84" w:name="_Toc918"/>
      <w:bookmarkStart w:id="85" w:name="_Toc109809352"/>
      <w:bookmarkStart w:id="86" w:name="_Toc413064432"/>
      <w:bookmarkStart w:id="87" w:name="_Toc31169"/>
      <w:bookmarkStart w:id="88" w:name="_Toc6782"/>
      <w:bookmarkStart w:id="89" w:name="_Toc6307"/>
      <w:bookmarkStart w:id="90" w:name="_Toc1882179177"/>
      <w:bookmarkStart w:id="91" w:name="_Toc1261849616"/>
      <w:bookmarkStart w:id="92" w:name="_Toc24031"/>
      <w:bookmarkStart w:id="93" w:name="_Toc23494"/>
      <w:r>
        <w:rPr>
          <w:rFonts w:hint="eastAsia" w:ascii="仿宋_GB2312" w:hAnsi="仿宋_GB2312" w:cs="仿宋_GB2312"/>
        </w:rPr>
        <w:t>2</w:t>
      </w:r>
      <w:r>
        <w:rPr>
          <w:rFonts w:ascii="仿宋_GB2312" w:hAnsi="仿宋_GB2312" w:cs="仿宋_GB2312"/>
        </w:rPr>
        <w:t>．《中华人民共和国证券法》（1998年12月29日</w:t>
      </w:r>
      <w:r>
        <w:rPr>
          <w:rFonts w:hint="eastAsia" w:ascii="仿宋_GB2312" w:hAnsi="仿宋_GB2312" w:cs="仿宋_GB2312"/>
        </w:rPr>
        <w:t>公布</w:t>
      </w:r>
      <w:r>
        <w:rPr>
          <w:rFonts w:ascii="仿宋_GB2312" w:hAnsi="仿宋_GB2312" w:cs="仿宋_GB2312"/>
        </w:rPr>
        <w:t>，</w:t>
      </w:r>
      <w:r>
        <w:rPr>
          <w:rFonts w:hint="eastAsia" w:ascii="仿宋_GB2312" w:hAnsi="仿宋_GB2312" w:cs="仿宋_GB2312"/>
        </w:rPr>
        <w:t>2019年12月28日最新修订，2020年3月1日起施行</w:t>
      </w:r>
      <w:r>
        <w:rPr>
          <w:rFonts w:ascii="仿宋_GB2312" w:hAnsi="仿宋_GB2312" w:cs="仿宋_GB2312"/>
        </w:rPr>
        <w:t>）</w:t>
      </w:r>
      <w:bookmarkEnd w:id="80"/>
      <w:bookmarkEnd w:id="82"/>
      <w:bookmarkEnd w:id="83"/>
      <w:bookmarkEnd w:id="84"/>
      <w:bookmarkEnd w:id="85"/>
      <w:bookmarkEnd w:id="86"/>
      <w:bookmarkEnd w:id="87"/>
      <w:bookmarkEnd w:id="88"/>
      <w:bookmarkEnd w:id="89"/>
      <w:bookmarkEnd w:id="90"/>
      <w:bookmarkEnd w:id="91"/>
      <w:bookmarkEnd w:id="92"/>
      <w:bookmarkEnd w:id="93"/>
    </w:p>
    <w:p>
      <w:pPr>
        <w:ind w:firstLine="600" w:firstLineChars="200"/>
        <w:rPr>
          <w:rFonts w:ascii="仿宋_GB2312" w:eastAsia="仿宋_GB2312"/>
          <w:color w:val="000000"/>
          <w:szCs w:val="30"/>
        </w:rPr>
      </w:pPr>
      <w:r>
        <w:rPr>
          <w:rFonts w:hint="eastAsia" w:ascii="仿宋_GB2312" w:eastAsia="仿宋_GB2312"/>
          <w:color w:val="000000"/>
          <w:sz w:val="30"/>
          <w:szCs w:val="30"/>
        </w:rPr>
        <w:t>掌握证券发行和交易的“三公”原则；掌握发行交易当事人的行为准则；掌握关于公开发行证券的规定；掌握股票发行依法注册的规定；掌握保荐人勤勉尽责的要求；掌握关于证券交易场所、交易方式的规定；掌握有关人员持有或买卖股票的限制性规定；熟悉关于短线交易及其归入权的规定；熟悉关于证券上市申请及审核的规定；掌握关于可能对上市公司、股票在国务院批准的其他全国性证券交易场所交易的公司的股票、上市交易公司债券的交易价格产生较大影响，应及时公告的重大事件的规定；掌握关于内幕交易、利用未公开信息交易、操纵市场、虚假陈述或信息误导、损害客户利益等禁止交易行为的规定；掌握先行赔付制度的概念；熟悉证券民事赔偿诉讼的代表人诉讼制度；掌握关于证券公司设立条件的规定；掌握证券公司业务范围的规定；掌握证券公司注册资本最低限额的规定；掌握证券公司从事证券自营业务的限制性规定；掌握证券公司应当依法审慎经营的相关要求；掌握证券公司客户交易结算资金和证券管理的规定；掌握证券公司不得接受客户全权委托、不得允许他人以证券公司名义直接参与证券集中交易、不得私下接受客户委托买卖证券的规定；掌握证券公司治理结构、合规管理、风险控制指标不符合规定时，国务院证券监督管理机构对其采取监管措施的规定；了解对证券公司股东虚假出资、抽逃出资行为进行监管的规定；熟悉证券账户实名制的规定；熟悉国务院证券监督管理机构依法履行职责有权采取的措施和被检查、调查的单位及个人的配合义务；熟悉关于相关证券违法行为法律责任的规定。</w:t>
      </w:r>
    </w:p>
    <w:bookmarkEnd w:id="81"/>
    <w:p>
      <w:pPr>
        <w:pStyle w:val="4"/>
        <w:ind w:firstLine="602"/>
      </w:pPr>
      <w:bookmarkStart w:id="94" w:name="_Toc1580175290"/>
      <w:bookmarkStart w:id="95" w:name="_Toc6895"/>
      <w:bookmarkStart w:id="96" w:name="_Toc15828"/>
      <w:bookmarkStart w:id="97" w:name="_Toc11512"/>
      <w:bookmarkStart w:id="98" w:name="_Toc1085039805"/>
      <w:bookmarkStart w:id="99" w:name="_Toc32034"/>
      <w:bookmarkStart w:id="100" w:name="_Toc29397"/>
      <w:bookmarkStart w:id="101" w:name="_Toc13126"/>
      <w:bookmarkStart w:id="102" w:name="_Toc1614"/>
      <w:bookmarkStart w:id="103" w:name="_Toc1372404623"/>
      <w:bookmarkStart w:id="104" w:name="_Toc14230"/>
      <w:bookmarkStart w:id="105" w:name="_Toc109809353"/>
      <w:bookmarkStart w:id="106" w:name="_Toc18824"/>
      <w:r>
        <w:rPr>
          <w:rFonts w:hint="eastAsia" w:ascii="仿宋_GB2312" w:hAnsi="仿宋_GB2312" w:cs="仿宋_GB2312"/>
        </w:rPr>
        <w:t>3</w:t>
      </w:r>
      <w:r>
        <w:rPr>
          <w:rFonts w:ascii="仿宋_GB2312" w:hAnsi="仿宋_GB2312" w:cs="仿宋_GB2312"/>
        </w:rPr>
        <w:t>．</w:t>
      </w:r>
      <w:r>
        <w:rPr>
          <w:rFonts w:hint="eastAsia" w:ascii="仿宋_GB2312" w:hAnsi="仿宋_GB2312" w:cs="仿宋_GB2312"/>
        </w:rPr>
        <w:t>《中华人民共和国民法典》关于合同、担保物权的相关规定（</w:t>
      </w:r>
      <w:r>
        <w:rPr>
          <w:rFonts w:ascii="仿宋_GB2312" w:hAnsi="仿宋_GB2312" w:cs="仿宋_GB2312"/>
        </w:rPr>
        <w:t>2020</w:t>
      </w:r>
      <w:r>
        <w:rPr>
          <w:rFonts w:hint="eastAsia" w:ascii="仿宋_GB2312" w:hAnsi="仿宋_GB2312" w:cs="仿宋_GB2312"/>
        </w:rPr>
        <w:t>年</w:t>
      </w:r>
      <w:r>
        <w:rPr>
          <w:rFonts w:ascii="仿宋_GB2312" w:hAnsi="仿宋_GB2312" w:cs="仿宋_GB2312"/>
        </w:rPr>
        <w:t>5</w:t>
      </w:r>
      <w:r>
        <w:rPr>
          <w:rFonts w:hint="eastAsia" w:ascii="仿宋_GB2312" w:hAnsi="仿宋_GB2312" w:cs="仿宋_GB2312"/>
        </w:rPr>
        <w:t>月</w:t>
      </w:r>
      <w:r>
        <w:rPr>
          <w:rFonts w:ascii="仿宋_GB2312" w:hAnsi="仿宋_GB2312" w:cs="仿宋_GB2312"/>
        </w:rPr>
        <w:t>28</w:t>
      </w:r>
      <w:r>
        <w:rPr>
          <w:rFonts w:hint="eastAsia" w:ascii="仿宋_GB2312" w:hAnsi="仿宋_GB2312" w:cs="仿宋_GB2312"/>
        </w:rPr>
        <w:t>日公布，</w:t>
      </w:r>
      <w:r>
        <w:rPr>
          <w:rFonts w:ascii="仿宋_GB2312" w:hAnsi="仿宋_GB2312" w:cs="仿宋_GB2312"/>
        </w:rPr>
        <w:t>2021</w:t>
      </w:r>
      <w:r>
        <w:rPr>
          <w:rFonts w:hint="eastAsia" w:ascii="仿宋_GB2312" w:hAnsi="仿宋_GB2312" w:cs="仿宋_GB2312"/>
        </w:rPr>
        <w:t>年</w:t>
      </w:r>
      <w:r>
        <w:rPr>
          <w:rFonts w:ascii="仿宋_GB2312" w:hAnsi="仿宋_GB2312" w:cs="仿宋_GB2312"/>
        </w:rPr>
        <w:t>1</w:t>
      </w:r>
      <w:r>
        <w:rPr>
          <w:rFonts w:hint="eastAsia" w:ascii="仿宋_GB2312" w:hAnsi="仿宋_GB2312" w:cs="仿宋_GB2312"/>
        </w:rPr>
        <w:t>月</w:t>
      </w:r>
      <w:r>
        <w:rPr>
          <w:rFonts w:ascii="仿宋_GB2312" w:hAnsi="仿宋_GB2312" w:cs="仿宋_GB2312"/>
        </w:rPr>
        <w:t>1</w:t>
      </w:r>
      <w:r>
        <w:rPr>
          <w:rFonts w:hint="eastAsia" w:ascii="仿宋_GB2312" w:hAnsi="仿宋_GB2312" w:cs="仿宋_GB2312"/>
        </w:rPr>
        <w:t>日起施行）</w:t>
      </w:r>
      <w:bookmarkEnd w:id="94"/>
      <w:bookmarkEnd w:id="95"/>
      <w:bookmarkEnd w:id="96"/>
      <w:bookmarkEnd w:id="97"/>
      <w:bookmarkEnd w:id="98"/>
      <w:bookmarkEnd w:id="99"/>
      <w:bookmarkEnd w:id="100"/>
      <w:bookmarkEnd w:id="101"/>
      <w:bookmarkEnd w:id="102"/>
      <w:bookmarkEnd w:id="103"/>
      <w:bookmarkEnd w:id="104"/>
      <w:bookmarkEnd w:id="105"/>
      <w:bookmarkEnd w:id="106"/>
    </w:p>
    <w:p>
      <w:pPr>
        <w:pStyle w:val="8"/>
        <w:ind w:firstLine="600" w:firstLineChars="200"/>
        <w:rPr>
          <w:rFonts w:ascii="Times New Roman" w:hAnsi="Times New Roman" w:eastAsia="仿宋_GB2312"/>
          <w:color w:val="000000"/>
          <w:kern w:val="0"/>
          <w:szCs w:val="30"/>
        </w:rPr>
      </w:pPr>
      <w:r>
        <w:rPr>
          <w:rFonts w:ascii="Times New Roman" w:hAnsi="Times New Roman" w:eastAsia="仿宋_GB2312"/>
          <w:color w:val="000000"/>
          <w:szCs w:val="30"/>
        </w:rPr>
        <w:t>熟悉合同当事人行使权利、履行义务应当遵循的原则；了解合同当事人订立合同可以采用的形式；熟悉合同内容应包括的一般条款；了解合同当事人不履行合同义务应承担的违约责任；熟悉借款合同的形式和主要内容；熟悉借款人和贷款人的权利及义务；</w:t>
      </w:r>
      <w:r>
        <w:rPr>
          <w:rFonts w:hint="eastAsia" w:ascii="Times New Roman" w:hAnsi="Times New Roman" w:eastAsia="仿宋_GB2312"/>
          <w:color w:val="000000"/>
          <w:szCs w:val="30"/>
        </w:rPr>
        <w:t>熟悉保证人承担连带责任的规定；了解有关委托费用、委托事务报酬支付的规定</w:t>
      </w:r>
      <w:r>
        <w:rPr>
          <w:rFonts w:ascii="Times New Roman" w:hAnsi="Times New Roman" w:eastAsia="仿宋_GB2312"/>
          <w:color w:val="000000"/>
          <w:szCs w:val="30"/>
        </w:rPr>
        <w:t>；熟悉受托人、委托人的权利和义务；熟悉不同情形下委托人或者受托人受到损失时的赔偿责任规定；熟悉有关解除委托合同的规定；熟悉有关委托合同终止的规定；了解</w:t>
      </w:r>
      <w:r>
        <w:rPr>
          <w:rFonts w:hint="eastAsia" w:ascii="Times New Roman" w:hAnsi="Times New Roman" w:eastAsia="仿宋_GB2312"/>
          <w:color w:val="000000"/>
          <w:szCs w:val="30"/>
        </w:rPr>
        <w:t>中介合同中介</w:t>
      </w:r>
      <w:r>
        <w:rPr>
          <w:rFonts w:ascii="Times New Roman" w:hAnsi="Times New Roman" w:eastAsia="仿宋_GB2312"/>
          <w:color w:val="000000"/>
          <w:szCs w:val="30"/>
        </w:rPr>
        <w:t>人和委托人的义务；熟悉担保合同的性质</w:t>
      </w:r>
      <w:r>
        <w:rPr>
          <w:rFonts w:hint="eastAsia" w:ascii="Times New Roman" w:hAnsi="Times New Roman" w:eastAsia="仿宋_GB2312"/>
          <w:color w:val="000000"/>
          <w:szCs w:val="30"/>
        </w:rPr>
        <w:t>、种类</w:t>
      </w:r>
      <w:r>
        <w:rPr>
          <w:rFonts w:ascii="Times New Roman" w:hAnsi="Times New Roman" w:eastAsia="仿宋_GB2312"/>
          <w:color w:val="000000"/>
          <w:szCs w:val="30"/>
        </w:rPr>
        <w:t>；熟悉</w:t>
      </w:r>
      <w:r>
        <w:rPr>
          <w:rFonts w:hint="eastAsia" w:ascii="Times New Roman" w:hAnsi="Times New Roman" w:eastAsia="仿宋_GB2312"/>
          <w:color w:val="000000"/>
          <w:szCs w:val="30"/>
        </w:rPr>
        <w:t>担保物权的担保范围</w:t>
      </w:r>
      <w:r>
        <w:rPr>
          <w:rFonts w:ascii="Times New Roman" w:hAnsi="Times New Roman" w:eastAsia="仿宋_GB2312"/>
          <w:color w:val="000000"/>
          <w:szCs w:val="30"/>
        </w:rPr>
        <w:t>；掌握抵押财产的范围；熟悉可以出质的权利范围；掌握关于股权、基金份额出质的规定。</w:t>
      </w:r>
    </w:p>
    <w:p>
      <w:pPr>
        <w:pStyle w:val="4"/>
        <w:ind w:firstLine="602"/>
      </w:pPr>
      <w:bookmarkStart w:id="107" w:name="_Toc2960"/>
      <w:bookmarkStart w:id="108" w:name="_Toc22381"/>
      <w:bookmarkStart w:id="109" w:name="_Toc1651245288"/>
      <w:bookmarkStart w:id="110" w:name="_Toc27044"/>
      <w:bookmarkStart w:id="111" w:name="_Toc2097543769"/>
      <w:bookmarkStart w:id="112" w:name="_Toc16713"/>
      <w:bookmarkStart w:id="113" w:name="_Toc10459"/>
      <w:bookmarkStart w:id="114" w:name="_Toc30741"/>
      <w:bookmarkStart w:id="115" w:name="_Toc1658471611"/>
      <w:bookmarkStart w:id="116" w:name="_Toc457"/>
      <w:bookmarkStart w:id="117" w:name="_Toc25128"/>
      <w:bookmarkStart w:id="118" w:name="_Toc109809354"/>
      <w:bookmarkStart w:id="119" w:name="_Toc3467"/>
      <w:r>
        <w:rPr>
          <w:rFonts w:hint="eastAsia" w:ascii="仿宋_GB2312" w:hAnsi="仿宋_GB2312" w:cs="仿宋_GB2312"/>
        </w:rPr>
        <w:t>4</w:t>
      </w:r>
      <w:r>
        <w:rPr>
          <w:rFonts w:ascii="仿宋_GB2312" w:hAnsi="仿宋_GB2312" w:cs="仿宋_GB2312"/>
        </w:rPr>
        <w:t>．《中华人民共和国刑法》及其修</w:t>
      </w:r>
      <w:r>
        <w:rPr>
          <w:rFonts w:hint="eastAsia" w:ascii="仿宋_GB2312" w:hAnsi="仿宋_GB2312" w:cs="仿宋_GB2312"/>
        </w:rPr>
        <w:t>正</w:t>
      </w:r>
      <w:r>
        <w:rPr>
          <w:rFonts w:ascii="仿宋_GB2312" w:hAnsi="仿宋_GB2312" w:cs="仿宋_GB2312"/>
        </w:rPr>
        <w:t>案</w:t>
      </w:r>
      <w:r>
        <w:rPr>
          <w:rFonts w:hint="eastAsia" w:ascii="仿宋_GB2312" w:hAnsi="仿宋_GB2312" w:cs="仿宋_GB2312"/>
          <w:lang w:eastAsia="zh-CN"/>
        </w:rPr>
        <w:t>证券相关</w:t>
      </w:r>
      <w:r>
        <w:rPr>
          <w:rFonts w:ascii="仿宋_GB2312" w:hAnsi="仿宋_GB2312" w:cs="仿宋_GB2312"/>
        </w:rPr>
        <w:t>犯罪的规定</w:t>
      </w:r>
      <w:r>
        <w:rPr>
          <w:rFonts w:hint="eastAsia" w:ascii="仿宋_GB2312" w:hAnsi="仿宋_GB2312" w:cs="仿宋_GB2312"/>
        </w:rPr>
        <w:t>（1979年7月6日公布，2023年12月29日最新修正，2024年3月1日起施行）</w:t>
      </w:r>
      <w:bookmarkEnd w:id="107"/>
      <w:bookmarkEnd w:id="108"/>
      <w:bookmarkEnd w:id="109"/>
      <w:bookmarkEnd w:id="110"/>
      <w:bookmarkEnd w:id="111"/>
      <w:bookmarkEnd w:id="112"/>
      <w:bookmarkEnd w:id="113"/>
      <w:bookmarkEnd w:id="114"/>
      <w:bookmarkEnd w:id="115"/>
      <w:bookmarkEnd w:id="116"/>
      <w:bookmarkEnd w:id="117"/>
      <w:bookmarkEnd w:id="118"/>
      <w:bookmarkEnd w:id="119"/>
    </w:p>
    <w:p>
      <w:pPr>
        <w:pStyle w:val="8"/>
        <w:ind w:firstLine="600" w:firstLineChars="200"/>
        <w:rPr>
          <w:rFonts w:ascii="Times New Roman" w:hAnsi="Times New Roman" w:eastAsia="仿宋_GB2312"/>
          <w:color w:val="000000"/>
          <w:szCs w:val="30"/>
        </w:rPr>
      </w:pPr>
      <w:r>
        <w:rPr>
          <w:rFonts w:hint="eastAsia" w:ascii="Times New Roman" w:hAnsi="Times New Roman" w:eastAsia="仿宋_GB2312"/>
          <w:color w:val="000000"/>
          <w:szCs w:val="30"/>
        </w:rPr>
        <w:t>了解</w:t>
      </w:r>
      <w:r>
        <w:rPr>
          <w:rFonts w:ascii="Times New Roman" w:hAnsi="Times New Roman" w:eastAsia="仿宋_GB2312"/>
          <w:color w:val="000000"/>
          <w:szCs w:val="30"/>
        </w:rPr>
        <w:t>欺诈发行</w:t>
      </w:r>
      <w:r>
        <w:rPr>
          <w:rFonts w:hint="eastAsia" w:ascii="Times New Roman" w:hAnsi="Times New Roman" w:eastAsia="仿宋_GB2312"/>
          <w:color w:val="000000"/>
          <w:szCs w:val="30"/>
        </w:rPr>
        <w:t>证券</w:t>
      </w:r>
      <w:r>
        <w:rPr>
          <w:rFonts w:ascii="Times New Roman" w:hAnsi="Times New Roman" w:eastAsia="仿宋_GB2312"/>
          <w:color w:val="000000"/>
          <w:szCs w:val="30"/>
        </w:rPr>
        <w:t>罪的构成要件</w:t>
      </w:r>
      <w:r>
        <w:rPr>
          <w:rFonts w:hint="eastAsia" w:ascii="Times New Roman" w:hAnsi="Times New Roman" w:eastAsia="仿宋_GB2312"/>
          <w:color w:val="000000"/>
          <w:szCs w:val="30"/>
        </w:rPr>
        <w:t>及刑事责任</w:t>
      </w:r>
      <w:r>
        <w:rPr>
          <w:rFonts w:ascii="Times New Roman" w:hAnsi="Times New Roman" w:eastAsia="仿宋_GB2312"/>
          <w:color w:val="000000"/>
          <w:szCs w:val="30"/>
        </w:rPr>
        <w:t>；</w:t>
      </w:r>
      <w:r>
        <w:rPr>
          <w:rFonts w:hint="eastAsia" w:ascii="Times New Roman" w:hAnsi="Times New Roman" w:eastAsia="仿宋_GB2312"/>
          <w:color w:val="000000"/>
          <w:szCs w:val="30"/>
        </w:rPr>
        <w:t>了解</w:t>
      </w:r>
      <w:r>
        <w:rPr>
          <w:rFonts w:ascii="Times New Roman" w:hAnsi="Times New Roman" w:eastAsia="仿宋_GB2312"/>
          <w:color w:val="000000"/>
          <w:szCs w:val="30"/>
        </w:rPr>
        <w:t>违规披露、不披露重要信息罪的构成要件</w:t>
      </w:r>
      <w:r>
        <w:rPr>
          <w:rFonts w:hint="eastAsia" w:ascii="Times New Roman" w:hAnsi="Times New Roman" w:eastAsia="仿宋_GB2312"/>
          <w:color w:val="000000"/>
          <w:szCs w:val="30"/>
        </w:rPr>
        <w:t>及刑事责任</w:t>
      </w:r>
      <w:r>
        <w:rPr>
          <w:rFonts w:ascii="Times New Roman" w:hAnsi="Times New Roman" w:eastAsia="仿宋_GB2312"/>
          <w:color w:val="000000"/>
          <w:szCs w:val="30"/>
        </w:rPr>
        <w:t>；掌握内幕交易、泄露内幕信息罪的构成要件</w:t>
      </w:r>
      <w:r>
        <w:rPr>
          <w:rFonts w:hint="eastAsia" w:ascii="Times New Roman" w:hAnsi="Times New Roman" w:eastAsia="仿宋_GB2312"/>
          <w:color w:val="000000"/>
          <w:szCs w:val="30"/>
        </w:rPr>
        <w:t>及刑事责任</w:t>
      </w:r>
      <w:r>
        <w:rPr>
          <w:rFonts w:ascii="Times New Roman" w:hAnsi="Times New Roman" w:eastAsia="仿宋_GB2312"/>
          <w:color w:val="000000"/>
          <w:szCs w:val="30"/>
        </w:rPr>
        <w:t>；掌握利用未公开信息交易罪的构成要件</w:t>
      </w:r>
      <w:r>
        <w:rPr>
          <w:rFonts w:hint="eastAsia" w:ascii="Times New Roman" w:hAnsi="Times New Roman" w:eastAsia="仿宋_GB2312"/>
          <w:color w:val="000000"/>
          <w:szCs w:val="30"/>
        </w:rPr>
        <w:t>及刑事责任</w:t>
      </w:r>
      <w:r>
        <w:rPr>
          <w:rFonts w:ascii="Times New Roman" w:hAnsi="Times New Roman" w:eastAsia="仿宋_GB2312"/>
          <w:color w:val="000000"/>
          <w:szCs w:val="30"/>
        </w:rPr>
        <w:t>；熟悉编造并传播证券、期货交易虚假信息罪的构成要件</w:t>
      </w:r>
      <w:r>
        <w:rPr>
          <w:rFonts w:hint="eastAsia" w:ascii="Times New Roman" w:hAnsi="Times New Roman" w:eastAsia="仿宋_GB2312"/>
          <w:color w:val="000000"/>
          <w:szCs w:val="30"/>
        </w:rPr>
        <w:t>及刑事责任</w:t>
      </w:r>
      <w:r>
        <w:rPr>
          <w:rFonts w:ascii="Times New Roman" w:hAnsi="Times New Roman" w:eastAsia="仿宋_GB2312"/>
          <w:color w:val="000000"/>
          <w:szCs w:val="30"/>
        </w:rPr>
        <w:t>；掌握诱骗投资者买卖证券、期货合约罪的构成要件</w:t>
      </w:r>
      <w:r>
        <w:rPr>
          <w:rFonts w:hint="eastAsia" w:ascii="Times New Roman" w:hAnsi="Times New Roman" w:eastAsia="仿宋_GB2312"/>
          <w:color w:val="000000"/>
          <w:szCs w:val="30"/>
        </w:rPr>
        <w:t>及刑事责任</w:t>
      </w:r>
      <w:r>
        <w:rPr>
          <w:rFonts w:ascii="Times New Roman" w:hAnsi="Times New Roman" w:eastAsia="仿宋_GB2312"/>
          <w:color w:val="000000"/>
          <w:szCs w:val="30"/>
        </w:rPr>
        <w:t>；掌握操纵证券、期货市场罪的构成要件</w:t>
      </w:r>
      <w:r>
        <w:rPr>
          <w:rFonts w:hint="eastAsia" w:ascii="Times New Roman" w:hAnsi="Times New Roman" w:eastAsia="仿宋_GB2312"/>
          <w:color w:val="000000"/>
          <w:szCs w:val="30"/>
        </w:rPr>
        <w:t>及刑事责任</w:t>
      </w:r>
      <w:r>
        <w:rPr>
          <w:rFonts w:ascii="Times New Roman" w:hAnsi="Times New Roman" w:eastAsia="仿宋_GB2312"/>
          <w:color w:val="000000"/>
          <w:szCs w:val="30"/>
        </w:rPr>
        <w:t>；熟悉背信运用受托财产罪的构成要件</w:t>
      </w:r>
      <w:r>
        <w:rPr>
          <w:rFonts w:hint="eastAsia" w:ascii="Times New Roman" w:hAnsi="Times New Roman" w:eastAsia="仿宋_GB2312"/>
          <w:color w:val="000000"/>
          <w:szCs w:val="30"/>
        </w:rPr>
        <w:t>及刑事责任；熟悉提供虚假证明文件罪、出具证明文件重大失实罪的构成</w:t>
      </w:r>
      <w:r>
        <w:rPr>
          <w:rFonts w:ascii="Times New Roman" w:hAnsi="Times New Roman" w:eastAsia="仿宋_GB2312"/>
          <w:color w:val="000000"/>
          <w:szCs w:val="30"/>
        </w:rPr>
        <w:t>要件</w:t>
      </w:r>
      <w:r>
        <w:rPr>
          <w:rFonts w:hint="eastAsia" w:ascii="Times New Roman" w:hAnsi="Times New Roman" w:eastAsia="仿宋_GB2312"/>
          <w:color w:val="000000"/>
          <w:szCs w:val="30"/>
        </w:rPr>
        <w:t>及刑事责任</w:t>
      </w:r>
      <w:r>
        <w:rPr>
          <w:rFonts w:hint="eastAsia" w:ascii="Times New Roman" w:hAnsi="Times New Roman" w:eastAsia="仿宋_GB2312"/>
          <w:color w:val="000000"/>
          <w:szCs w:val="30"/>
          <w:lang w:eastAsia="zh-CN"/>
        </w:rPr>
        <w:t>；</w:t>
      </w:r>
      <w:r>
        <w:rPr>
          <w:rFonts w:ascii="Times New Roman" w:eastAsia="仿宋_GB2312"/>
          <w:color w:val="000000"/>
          <w:sz w:val="30"/>
          <w:szCs w:val="30"/>
        </w:rPr>
        <w:t>掌握</w:t>
      </w:r>
      <w:r>
        <w:rPr>
          <w:rFonts w:hint="eastAsia" w:ascii="Times New Roman" w:eastAsia="仿宋_GB2312"/>
          <w:color w:val="000000"/>
          <w:sz w:val="30"/>
          <w:szCs w:val="30"/>
        </w:rPr>
        <w:t>行贿罪、对非国家工作人员行贿罪、</w:t>
      </w:r>
      <w:r>
        <w:rPr>
          <w:rFonts w:ascii="Times New Roman" w:eastAsia="仿宋_GB2312"/>
          <w:color w:val="000000"/>
          <w:sz w:val="30"/>
          <w:szCs w:val="30"/>
        </w:rPr>
        <w:t>非国家工作人员受贿罪</w:t>
      </w:r>
      <w:r>
        <w:rPr>
          <w:rFonts w:hint="eastAsia" w:ascii="Times New Roman" w:eastAsia="仿宋_GB2312"/>
          <w:color w:val="000000"/>
          <w:sz w:val="30"/>
          <w:szCs w:val="30"/>
          <w:lang w:eastAsia="zh-CN"/>
        </w:rPr>
        <w:t>的</w:t>
      </w:r>
      <w:r>
        <w:rPr>
          <w:rFonts w:hint="eastAsia" w:ascii="Times New Roman" w:hAnsi="Times New Roman" w:eastAsia="仿宋_GB2312"/>
          <w:color w:val="000000"/>
          <w:szCs w:val="30"/>
        </w:rPr>
        <w:t>构成</w:t>
      </w:r>
      <w:r>
        <w:rPr>
          <w:rFonts w:ascii="Times New Roman" w:hAnsi="Times New Roman" w:eastAsia="仿宋_GB2312"/>
          <w:color w:val="000000"/>
          <w:szCs w:val="30"/>
        </w:rPr>
        <w:t>要件</w:t>
      </w:r>
      <w:r>
        <w:rPr>
          <w:rFonts w:hint="eastAsia" w:ascii="Times New Roman" w:hAnsi="Times New Roman" w:eastAsia="仿宋_GB2312"/>
          <w:color w:val="000000"/>
          <w:szCs w:val="30"/>
        </w:rPr>
        <w:t>及刑事责任</w:t>
      </w:r>
      <w:r>
        <w:rPr>
          <w:rFonts w:ascii="Times New Roman" w:hAnsi="Times New Roman" w:eastAsia="仿宋_GB2312"/>
          <w:color w:val="000000"/>
          <w:szCs w:val="30"/>
        </w:rPr>
        <w:t>。</w:t>
      </w:r>
    </w:p>
    <w:p>
      <w:pPr>
        <w:pStyle w:val="4"/>
        <w:ind w:firstLine="602"/>
      </w:pPr>
      <w:bookmarkStart w:id="120" w:name="_Toc14571"/>
      <w:bookmarkStart w:id="121" w:name="_Toc16578"/>
      <w:bookmarkStart w:id="122" w:name="_Toc8138"/>
      <w:bookmarkStart w:id="123" w:name="_Toc109809355"/>
      <w:bookmarkStart w:id="124" w:name="_Toc471976191"/>
      <w:bookmarkStart w:id="125" w:name="_Toc17579"/>
      <w:bookmarkStart w:id="126" w:name="_Toc159"/>
      <w:bookmarkStart w:id="127" w:name="_Toc26539"/>
      <w:bookmarkStart w:id="128" w:name="_Toc21994"/>
      <w:bookmarkStart w:id="129" w:name="_Toc4389"/>
      <w:bookmarkStart w:id="130" w:name="_Toc431500191"/>
      <w:bookmarkStart w:id="131" w:name="_Toc4308"/>
      <w:bookmarkStart w:id="132" w:name="_Toc295760974"/>
      <w:r>
        <w:rPr>
          <w:rFonts w:hint="eastAsia" w:ascii="仿宋_GB2312" w:hAnsi="仿宋_GB2312" w:cs="仿宋_GB2312"/>
        </w:rPr>
        <w:t>5</w:t>
      </w:r>
      <w:r>
        <w:rPr>
          <w:rFonts w:ascii="仿宋_GB2312" w:hAnsi="仿宋_GB2312" w:cs="仿宋_GB2312"/>
        </w:rPr>
        <w:t>．</w:t>
      </w:r>
      <w:r>
        <w:rPr>
          <w:rFonts w:hint="eastAsia" w:ascii="仿宋_GB2312" w:hAnsi="仿宋_GB2312" w:cs="仿宋_GB2312"/>
        </w:rPr>
        <w:t>《中华人民共和国证券投资基金法》（2003年10月28日公布，2015年4月24日最新修正并施行）</w:t>
      </w:r>
      <w:bookmarkEnd w:id="120"/>
      <w:bookmarkEnd w:id="121"/>
      <w:bookmarkEnd w:id="122"/>
      <w:bookmarkEnd w:id="123"/>
      <w:bookmarkEnd w:id="124"/>
      <w:bookmarkEnd w:id="125"/>
      <w:bookmarkEnd w:id="126"/>
      <w:bookmarkEnd w:id="127"/>
      <w:bookmarkEnd w:id="128"/>
      <w:bookmarkEnd w:id="129"/>
      <w:bookmarkEnd w:id="130"/>
      <w:bookmarkEnd w:id="131"/>
      <w:bookmarkEnd w:id="132"/>
    </w:p>
    <w:p>
      <w:pPr>
        <w:ind w:firstLine="600" w:firstLineChars="200"/>
        <w:rPr>
          <w:rFonts w:ascii="Times New Roman" w:eastAsia="仿宋_GB2312"/>
          <w:color w:val="000000"/>
          <w:sz w:val="30"/>
          <w:szCs w:val="30"/>
        </w:rPr>
      </w:pPr>
      <w:r>
        <w:rPr>
          <w:rFonts w:ascii="Times New Roman" w:eastAsia="仿宋_GB2312"/>
          <w:color w:val="000000"/>
          <w:sz w:val="30"/>
          <w:szCs w:val="30"/>
        </w:rPr>
        <w:t>了解设立基金管理公司的条件；熟悉基金管理人的禁止行为；熟悉公募基金运作的方式；熟悉基金财产的独立性要求；熟悉基金财产债权债务的独立性意义；掌握非公开募集基金的合格投资者的要求；掌握非公开募集基金的投资范围；掌握非公开募集基金管理人的登记及非公开募集基金的备案要求；熟悉基金公开募集与非公开募集的区别。</w:t>
      </w:r>
    </w:p>
    <w:p>
      <w:pPr>
        <w:pStyle w:val="4"/>
        <w:ind w:firstLine="602"/>
        <w:rPr>
          <w:rFonts w:ascii="仿宋_GB2312" w:hAnsi="仿宋_GB2312" w:cs="仿宋_GB2312"/>
        </w:rPr>
      </w:pPr>
      <w:bookmarkStart w:id="133" w:name="_Toc29236"/>
      <w:bookmarkStart w:id="134" w:name="_Toc17541"/>
      <w:bookmarkStart w:id="135" w:name="_Toc2499"/>
      <w:bookmarkStart w:id="136" w:name="_Toc367186690"/>
      <w:bookmarkStart w:id="137" w:name="_Toc8001"/>
      <w:bookmarkStart w:id="138" w:name="_Toc27676"/>
      <w:bookmarkStart w:id="139" w:name="_Toc19369"/>
      <w:bookmarkStart w:id="140" w:name="_Toc72521768"/>
      <w:bookmarkStart w:id="141" w:name="_Toc258998482"/>
      <w:r>
        <w:rPr>
          <w:rFonts w:hint="eastAsia" w:ascii="仿宋_GB2312" w:hAnsi="仿宋_GB2312" w:cs="仿宋_GB2312"/>
        </w:rPr>
        <w:t>6</w:t>
      </w:r>
      <w:r>
        <w:rPr>
          <w:rFonts w:ascii="仿宋_GB2312" w:hAnsi="仿宋_GB2312" w:cs="仿宋_GB2312"/>
        </w:rPr>
        <w:t>．</w:t>
      </w:r>
      <w:r>
        <w:rPr>
          <w:rFonts w:hint="eastAsia" w:ascii="仿宋_GB2312" w:hAnsi="仿宋_GB2312" w:cs="仿宋_GB2312"/>
        </w:rPr>
        <w:t>《中华人民共和国期货和衍生品法》（2022年4月20日公布，2022年8月1日起施行）</w:t>
      </w:r>
      <w:bookmarkEnd w:id="133"/>
      <w:bookmarkEnd w:id="134"/>
      <w:bookmarkEnd w:id="135"/>
      <w:bookmarkEnd w:id="136"/>
      <w:bookmarkEnd w:id="137"/>
      <w:bookmarkEnd w:id="138"/>
      <w:bookmarkEnd w:id="139"/>
      <w:bookmarkEnd w:id="140"/>
      <w:bookmarkEnd w:id="141"/>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期货交易和衍生品交易的相关定义；熟悉期货交易和衍生品交易活动应当遵循的原则、参与期货交易和衍生品交易活动的各方应当遵守的原则；熟悉期货交易和衍生品交易的交易方式；掌握期货交易和衍生品交易相关的禁止性行为规定。</w:t>
      </w:r>
    </w:p>
    <w:p>
      <w:pPr>
        <w:pStyle w:val="4"/>
        <w:ind w:firstLine="602"/>
      </w:pPr>
      <w:bookmarkStart w:id="142" w:name="_Toc30414"/>
      <w:bookmarkStart w:id="143" w:name="_Toc4340"/>
      <w:bookmarkStart w:id="144" w:name="_Toc2209"/>
      <w:bookmarkStart w:id="145" w:name="_Toc15994"/>
      <w:bookmarkStart w:id="146" w:name="_Toc535459521"/>
      <w:bookmarkStart w:id="147" w:name="_Toc703239496"/>
      <w:bookmarkStart w:id="148" w:name="_Toc13397"/>
      <w:bookmarkStart w:id="149" w:name="_Toc4181"/>
      <w:bookmarkStart w:id="150" w:name="_Toc7277"/>
      <w:bookmarkStart w:id="151" w:name="_Toc109809356"/>
      <w:bookmarkStart w:id="152" w:name="_Toc1239940697"/>
      <w:bookmarkStart w:id="153" w:name="_Toc29399"/>
      <w:bookmarkStart w:id="154" w:name="_Toc8186"/>
      <w:r>
        <w:rPr>
          <w:rFonts w:hint="eastAsia" w:ascii="仿宋_GB2312" w:hAnsi="仿宋_GB2312" w:cs="仿宋_GB2312"/>
        </w:rPr>
        <w:t>7</w:t>
      </w:r>
      <w:r>
        <w:rPr>
          <w:rFonts w:ascii="仿宋_GB2312" w:hAnsi="仿宋_GB2312" w:cs="仿宋_GB2312"/>
        </w:rPr>
        <w:t>．</w:t>
      </w:r>
      <w:r>
        <w:rPr>
          <w:rFonts w:hint="eastAsia" w:ascii="仿宋_GB2312" w:hAnsi="仿宋_GB2312" w:cs="仿宋_GB2312"/>
        </w:rPr>
        <w:t>《中华人民共和国信托法》（2001年4月28日公布，2001年10月1日起施行）</w:t>
      </w:r>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8"/>
        <w:ind w:firstLine="600" w:firstLineChars="200"/>
        <w:rPr>
          <w:rFonts w:ascii="Times New Roman" w:hAnsi="Times New Roman" w:eastAsia="仿宋_GB2312"/>
          <w:color w:val="000000"/>
          <w:szCs w:val="30"/>
        </w:rPr>
      </w:pPr>
      <w:r>
        <w:rPr>
          <w:rFonts w:ascii="Times New Roman" w:hAnsi="Times New Roman" w:eastAsia="仿宋_GB2312"/>
          <w:color w:val="000000"/>
          <w:szCs w:val="30"/>
        </w:rPr>
        <w:t>了解设立信托的条件；熟悉信托财产与受托人财产相区别的规定；熟悉受托人义务的规定；了解信托变更及终止的相关规定。</w:t>
      </w:r>
    </w:p>
    <w:p>
      <w:pPr>
        <w:pStyle w:val="4"/>
        <w:ind w:firstLine="602"/>
      </w:pPr>
      <w:bookmarkStart w:id="155" w:name="_Toc11018"/>
      <w:bookmarkStart w:id="156" w:name="_Toc21740"/>
      <w:bookmarkStart w:id="157" w:name="_Toc1163040913"/>
      <w:bookmarkStart w:id="158" w:name="_Toc1411348915"/>
      <w:bookmarkStart w:id="159" w:name="_Toc24253"/>
      <w:bookmarkStart w:id="160" w:name="_Toc8110"/>
      <w:bookmarkStart w:id="161" w:name="_Toc109809357"/>
      <w:bookmarkStart w:id="162" w:name="_Toc28559"/>
      <w:bookmarkStart w:id="163" w:name="_Toc21569"/>
      <w:bookmarkStart w:id="164" w:name="_Toc23743"/>
      <w:bookmarkStart w:id="165" w:name="_Toc11960"/>
      <w:bookmarkStart w:id="166" w:name="_Toc1033983939"/>
      <w:bookmarkStart w:id="167" w:name="_Toc933"/>
      <w:r>
        <w:rPr>
          <w:rFonts w:hint="eastAsia" w:ascii="仿宋_GB2312" w:hAnsi="仿宋_GB2312" w:cs="仿宋_GB2312"/>
        </w:rPr>
        <w:t>8</w:t>
      </w:r>
      <w:r>
        <w:rPr>
          <w:rFonts w:ascii="仿宋_GB2312" w:hAnsi="仿宋_GB2312" w:cs="仿宋_GB2312"/>
        </w:rPr>
        <w:t>．</w:t>
      </w:r>
      <w:r>
        <w:rPr>
          <w:rFonts w:hint="eastAsia" w:ascii="仿宋_GB2312" w:hAnsi="仿宋_GB2312" w:cs="仿宋_GB2312"/>
        </w:rPr>
        <w:t>《中华人民共和国反洗钱法》（2006年10月31日公布，2007年1月1日起施行）</w:t>
      </w:r>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600" w:firstLineChars="200"/>
        <w:rPr>
          <w:rFonts w:ascii="Times New Roman" w:eastAsia="仿宋_GB2312"/>
          <w:color w:val="000000"/>
          <w:sz w:val="30"/>
          <w:szCs w:val="30"/>
        </w:rPr>
      </w:pPr>
      <w:r>
        <w:rPr>
          <w:rFonts w:ascii="Times New Roman" w:eastAsia="仿宋_GB2312"/>
          <w:color w:val="000000"/>
          <w:sz w:val="30"/>
          <w:szCs w:val="30"/>
        </w:rPr>
        <w:t>掌握反洗钱的概念；熟悉金融机构在客户身份识别、客户身份资料和交易记录保存、大额交易和可疑交易报告等方面的反洗钱义务的规定；了解金融机构未履行反洗钱义务的法律责任。</w:t>
      </w:r>
    </w:p>
    <w:p>
      <w:pPr>
        <w:pStyle w:val="3"/>
        <w:ind w:firstLine="602"/>
        <w:rPr>
          <w:rFonts w:hint="default"/>
        </w:rPr>
      </w:pPr>
      <w:bookmarkStart w:id="168" w:name="_Toc1454"/>
      <w:bookmarkStart w:id="169" w:name="_Toc20249"/>
      <w:bookmarkStart w:id="170" w:name="_Toc2893"/>
      <w:bookmarkStart w:id="171" w:name="_Toc2354"/>
      <w:bookmarkStart w:id="172" w:name="_Toc20993"/>
      <w:bookmarkStart w:id="173" w:name="_Toc1338748912"/>
      <w:bookmarkStart w:id="174" w:name="_Toc1710163827"/>
      <w:bookmarkStart w:id="175" w:name="_Toc109809359"/>
      <w:bookmarkStart w:id="176" w:name="_Toc8971"/>
      <w:bookmarkStart w:id="177" w:name="_Toc800298189"/>
      <w:bookmarkStart w:id="178" w:name="_Toc9999"/>
      <w:bookmarkStart w:id="179" w:name="_Toc25770"/>
      <w:bookmarkStart w:id="180" w:name="_Toc3019"/>
      <w:r>
        <w:rPr>
          <w:lang w:val="zh-CN"/>
        </w:rPr>
        <w:t>（</w:t>
      </w:r>
      <w:r>
        <w:t>三</w:t>
      </w:r>
      <w:r>
        <w:rPr>
          <w:lang w:val="zh-CN"/>
        </w:rPr>
        <w:t>）</w:t>
      </w:r>
      <w:r>
        <w:t>行政法规</w:t>
      </w:r>
      <w:bookmarkEnd w:id="168"/>
      <w:bookmarkEnd w:id="169"/>
      <w:bookmarkEnd w:id="170"/>
      <w:bookmarkEnd w:id="171"/>
      <w:bookmarkEnd w:id="172"/>
      <w:bookmarkEnd w:id="173"/>
      <w:bookmarkEnd w:id="174"/>
      <w:bookmarkEnd w:id="175"/>
      <w:bookmarkEnd w:id="176"/>
      <w:bookmarkEnd w:id="177"/>
      <w:bookmarkEnd w:id="178"/>
      <w:bookmarkEnd w:id="179"/>
      <w:bookmarkEnd w:id="180"/>
    </w:p>
    <w:p>
      <w:pPr>
        <w:keepNext/>
        <w:keepLines/>
        <w:ind w:firstLine="602" w:firstLineChars="200"/>
        <w:outlineLvl w:val="2"/>
        <w:rPr>
          <w:rFonts w:eastAsia="仿宋_GB2312"/>
          <w:b/>
          <w:sz w:val="30"/>
        </w:rPr>
      </w:pPr>
      <w:bookmarkStart w:id="181" w:name="_Toc25436"/>
      <w:bookmarkStart w:id="182" w:name="_Toc10684"/>
      <w:bookmarkStart w:id="183" w:name="_Toc31214"/>
      <w:bookmarkStart w:id="184" w:name="_Toc15091"/>
      <w:bookmarkStart w:id="185" w:name="_Toc918239961"/>
      <w:bookmarkStart w:id="186" w:name="_Toc294479091"/>
      <w:bookmarkStart w:id="187" w:name="_Toc109809360"/>
      <w:bookmarkStart w:id="188" w:name="_Toc136960137"/>
      <w:bookmarkStart w:id="189" w:name="_Toc9029"/>
      <w:bookmarkStart w:id="190" w:name="_Toc15672"/>
      <w:bookmarkStart w:id="191" w:name="_Toc15751"/>
      <w:bookmarkStart w:id="192" w:name="_Toc19416"/>
      <w:bookmarkStart w:id="193" w:name="_Toc7604"/>
      <w:r>
        <w:rPr>
          <w:rFonts w:hint="eastAsia" w:ascii="仿宋_GB2312" w:hAnsi="仿宋_GB2312" w:eastAsia="仿宋_GB2312" w:cs="仿宋_GB2312"/>
          <w:b/>
          <w:sz w:val="30"/>
        </w:rPr>
        <w:t>1</w:t>
      </w:r>
      <w:r>
        <w:rPr>
          <w:rFonts w:ascii="仿宋_GB2312" w:hAnsi="仿宋_GB2312" w:eastAsia="仿宋_GB2312" w:cs="仿宋_GB2312"/>
          <w:b/>
          <w:sz w:val="30"/>
        </w:rPr>
        <w:t>．</w:t>
      </w:r>
      <w:r>
        <w:rPr>
          <w:rFonts w:hint="eastAsia" w:ascii="仿宋_GB2312" w:hAnsi="仿宋_GB2312" w:eastAsia="仿宋_GB2312" w:cs="仿宋_GB2312"/>
          <w:b/>
          <w:sz w:val="30"/>
        </w:rPr>
        <w:t>《证券公司监督管理条例》（</w:t>
      </w:r>
      <w:r>
        <w:rPr>
          <w:rFonts w:ascii="仿宋_GB2312" w:hAnsi="仿宋_GB2312" w:eastAsia="仿宋_GB2312" w:cs="仿宋_GB2312"/>
          <w:b/>
          <w:sz w:val="30"/>
        </w:rPr>
        <w:t>2008</w:t>
      </w:r>
      <w:r>
        <w:rPr>
          <w:rFonts w:hint="eastAsia" w:ascii="仿宋_GB2312" w:hAnsi="仿宋_GB2312" w:eastAsia="仿宋_GB2312" w:cs="仿宋_GB2312"/>
          <w:b/>
          <w:sz w:val="30"/>
        </w:rPr>
        <w:t>年</w:t>
      </w:r>
      <w:r>
        <w:rPr>
          <w:rFonts w:ascii="仿宋_GB2312" w:hAnsi="仿宋_GB2312" w:eastAsia="仿宋_GB2312" w:cs="仿宋_GB2312"/>
          <w:b/>
          <w:sz w:val="30"/>
        </w:rPr>
        <w:t>4</w:t>
      </w:r>
      <w:r>
        <w:rPr>
          <w:rFonts w:hint="eastAsia" w:ascii="仿宋_GB2312" w:hAnsi="仿宋_GB2312" w:eastAsia="仿宋_GB2312" w:cs="仿宋_GB2312"/>
          <w:b/>
          <w:sz w:val="30"/>
        </w:rPr>
        <w:t>月</w:t>
      </w:r>
      <w:r>
        <w:rPr>
          <w:rFonts w:ascii="仿宋_GB2312" w:hAnsi="仿宋_GB2312" w:eastAsia="仿宋_GB2312" w:cs="仿宋_GB2312"/>
          <w:b/>
          <w:sz w:val="30"/>
        </w:rPr>
        <w:t>23</w:t>
      </w:r>
      <w:r>
        <w:rPr>
          <w:rFonts w:hint="eastAsia" w:ascii="仿宋_GB2312" w:hAnsi="仿宋_GB2312" w:eastAsia="仿宋_GB2312" w:cs="仿宋_GB2312"/>
          <w:b/>
          <w:sz w:val="30"/>
        </w:rPr>
        <w:t>日公布，</w:t>
      </w:r>
      <w:r>
        <w:rPr>
          <w:rFonts w:ascii="仿宋_GB2312" w:hAnsi="仿宋_GB2312" w:eastAsia="仿宋_GB2312" w:cs="仿宋_GB2312"/>
          <w:b/>
          <w:sz w:val="30"/>
        </w:rPr>
        <w:t>2014</w:t>
      </w:r>
      <w:r>
        <w:rPr>
          <w:rFonts w:hint="eastAsia" w:ascii="仿宋_GB2312" w:hAnsi="仿宋_GB2312" w:eastAsia="仿宋_GB2312" w:cs="仿宋_GB2312"/>
          <w:b/>
          <w:sz w:val="30"/>
        </w:rPr>
        <w:t>年</w:t>
      </w:r>
      <w:r>
        <w:rPr>
          <w:rFonts w:ascii="仿宋_GB2312" w:hAnsi="仿宋_GB2312" w:eastAsia="仿宋_GB2312" w:cs="仿宋_GB2312"/>
          <w:b/>
          <w:sz w:val="30"/>
        </w:rPr>
        <w:t>7</w:t>
      </w:r>
      <w:r>
        <w:rPr>
          <w:rFonts w:hint="eastAsia" w:ascii="仿宋_GB2312" w:hAnsi="仿宋_GB2312" w:eastAsia="仿宋_GB2312" w:cs="仿宋_GB2312"/>
          <w:b/>
          <w:sz w:val="30"/>
        </w:rPr>
        <w:t>月</w:t>
      </w:r>
      <w:r>
        <w:rPr>
          <w:rFonts w:ascii="仿宋_GB2312" w:hAnsi="仿宋_GB2312" w:eastAsia="仿宋_GB2312" w:cs="仿宋_GB2312"/>
          <w:b/>
          <w:sz w:val="30"/>
        </w:rPr>
        <w:t>29</w:t>
      </w:r>
      <w:r>
        <w:rPr>
          <w:rFonts w:hint="eastAsia" w:ascii="仿宋_GB2312" w:hAnsi="仿宋_GB2312" w:eastAsia="仿宋_GB2312" w:cs="仿宋_GB2312"/>
          <w:b/>
          <w:sz w:val="30"/>
        </w:rPr>
        <w:t>日</w:t>
      </w:r>
      <w:r>
        <w:rPr>
          <w:rFonts w:hint="eastAsia" w:ascii="仿宋_GB2312" w:hAnsi="仿宋_GB2312" w:eastAsia="仿宋_GB2312" w:cs="仿宋_GB2312"/>
          <w:b/>
          <w:sz w:val="30"/>
          <w:lang w:eastAsia="zh-CN"/>
        </w:rPr>
        <w:t>最新</w:t>
      </w:r>
      <w:r>
        <w:rPr>
          <w:rFonts w:hint="eastAsia" w:ascii="仿宋_GB2312" w:hAnsi="仿宋_GB2312" w:eastAsia="仿宋_GB2312" w:cs="仿宋_GB2312"/>
          <w:b/>
          <w:sz w:val="30"/>
        </w:rPr>
        <w:t>修订并施行）</w:t>
      </w:r>
      <w:bookmarkEnd w:id="181"/>
      <w:bookmarkEnd w:id="182"/>
      <w:bookmarkEnd w:id="183"/>
      <w:bookmarkEnd w:id="184"/>
      <w:bookmarkEnd w:id="185"/>
      <w:bookmarkEnd w:id="186"/>
      <w:bookmarkEnd w:id="187"/>
      <w:bookmarkEnd w:id="188"/>
      <w:bookmarkEnd w:id="189"/>
      <w:bookmarkEnd w:id="190"/>
      <w:bookmarkEnd w:id="191"/>
      <w:bookmarkEnd w:id="192"/>
      <w:bookmarkEnd w:id="193"/>
    </w:p>
    <w:p>
      <w:pPr>
        <w:ind w:firstLine="588" w:firstLineChars="196"/>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掌握证券公司依法经营、履行诚信义务的规定；掌握证券公司股东出资的规定；掌握证券公司设立时的业务范围的规定；掌握证券公司变更公司章程重要条款的规定；掌握证券公司股权变动时应事先告知的情形；掌握证券公司合并、分立、停业、解散或者破产的相关规定；掌握证券公司及其境内分支机构经营业务的规定；掌握证券公司防范和控制风险的规定；掌握关于证券公司客户及其账户管理的规定；掌握证券公司客户信息查询、客户服务等相关规定；掌握证券公司向客户提供投资建议的禁止性规定；掌握证券公司经纪业务、自营业务、证券资产管理业务、融资融券业务规则及风险控制的相关规定；掌握关于证券公司客户资产托管、客户资产保护的规定；掌握证券公司信息报送及向社会公开披露信息的主要内容和要求。</w:t>
      </w:r>
    </w:p>
    <w:p>
      <w:pPr>
        <w:keepNext/>
        <w:keepLines/>
        <w:ind w:firstLine="602" w:firstLineChars="200"/>
        <w:outlineLvl w:val="2"/>
        <w:rPr>
          <w:rFonts w:ascii="仿宋_GB2312" w:hAnsi="仿宋_GB2312" w:eastAsia="仿宋_GB2312" w:cs="仿宋_GB2312"/>
          <w:b/>
          <w:sz w:val="30"/>
        </w:rPr>
      </w:pPr>
      <w:bookmarkStart w:id="194" w:name="_Toc30714"/>
      <w:bookmarkStart w:id="195" w:name="_Toc23575"/>
      <w:bookmarkStart w:id="196" w:name="_Toc6654"/>
      <w:bookmarkStart w:id="197" w:name="_Toc2093129561"/>
      <w:bookmarkStart w:id="198" w:name="_Toc6585"/>
      <w:bookmarkStart w:id="199" w:name="_Toc1236984337"/>
      <w:bookmarkStart w:id="200" w:name="_Toc18747"/>
      <w:bookmarkStart w:id="201" w:name="_Toc14807"/>
      <w:bookmarkStart w:id="202" w:name="_Toc109809361"/>
      <w:bookmarkStart w:id="203" w:name="_Toc243989758"/>
      <w:bookmarkStart w:id="204" w:name="_Toc13405"/>
      <w:bookmarkStart w:id="205" w:name="_Toc32765"/>
      <w:bookmarkStart w:id="206" w:name="_Toc12557"/>
      <w:r>
        <w:rPr>
          <w:rFonts w:hint="eastAsia" w:ascii="仿宋_GB2312" w:hAnsi="仿宋_GB2312" w:eastAsia="仿宋_GB2312" w:cs="仿宋_GB2312"/>
          <w:b/>
          <w:sz w:val="30"/>
        </w:rPr>
        <w:t>2</w:t>
      </w:r>
      <w:r>
        <w:rPr>
          <w:rFonts w:ascii="仿宋_GB2312" w:hAnsi="仿宋_GB2312" w:eastAsia="仿宋_GB2312" w:cs="仿宋_GB2312"/>
          <w:b/>
          <w:sz w:val="30"/>
        </w:rPr>
        <w:t>．</w:t>
      </w:r>
      <w:r>
        <w:rPr>
          <w:rFonts w:hint="eastAsia" w:ascii="仿宋_GB2312" w:hAnsi="仿宋_GB2312" w:eastAsia="仿宋_GB2312" w:cs="仿宋_GB2312"/>
          <w:b/>
          <w:sz w:val="30"/>
        </w:rPr>
        <w:t>《证券公司风险处置条例》（</w:t>
      </w:r>
      <w:r>
        <w:rPr>
          <w:rFonts w:ascii="仿宋_GB2312" w:hAnsi="仿宋_GB2312" w:eastAsia="仿宋_GB2312" w:cs="仿宋_GB2312"/>
          <w:b/>
          <w:sz w:val="30"/>
        </w:rPr>
        <w:t>2008</w:t>
      </w:r>
      <w:r>
        <w:rPr>
          <w:rFonts w:hint="eastAsia" w:ascii="仿宋_GB2312" w:hAnsi="仿宋_GB2312" w:eastAsia="仿宋_GB2312" w:cs="仿宋_GB2312"/>
          <w:b/>
          <w:sz w:val="30"/>
        </w:rPr>
        <w:t>年</w:t>
      </w:r>
      <w:r>
        <w:rPr>
          <w:rFonts w:ascii="仿宋_GB2312" w:hAnsi="仿宋_GB2312" w:eastAsia="仿宋_GB2312" w:cs="仿宋_GB2312"/>
          <w:b/>
          <w:sz w:val="30"/>
        </w:rPr>
        <w:t>4</w:t>
      </w:r>
      <w:r>
        <w:rPr>
          <w:rFonts w:hint="eastAsia" w:ascii="仿宋_GB2312" w:hAnsi="仿宋_GB2312" w:eastAsia="仿宋_GB2312" w:cs="仿宋_GB2312"/>
          <w:b/>
          <w:sz w:val="30"/>
        </w:rPr>
        <w:t>月</w:t>
      </w:r>
      <w:r>
        <w:rPr>
          <w:rFonts w:ascii="仿宋_GB2312" w:hAnsi="仿宋_GB2312" w:eastAsia="仿宋_GB2312" w:cs="仿宋_GB2312"/>
          <w:b/>
          <w:sz w:val="30"/>
        </w:rPr>
        <w:t>23</w:t>
      </w:r>
      <w:r>
        <w:rPr>
          <w:rFonts w:hint="eastAsia" w:ascii="仿宋_GB2312" w:hAnsi="仿宋_GB2312" w:eastAsia="仿宋_GB2312" w:cs="仿宋_GB2312"/>
          <w:b/>
          <w:sz w:val="30"/>
        </w:rPr>
        <w:t>日公布，2023年7月20日</w:t>
      </w:r>
      <w:r>
        <w:rPr>
          <w:rFonts w:hint="eastAsia" w:ascii="仿宋_GB2312" w:hAnsi="仿宋_GB2312" w:eastAsia="仿宋_GB2312" w:cs="仿宋_GB2312"/>
          <w:b/>
          <w:sz w:val="30"/>
          <w:lang w:eastAsia="zh-CN"/>
        </w:rPr>
        <w:t>最新</w:t>
      </w:r>
      <w:r>
        <w:rPr>
          <w:rFonts w:hint="eastAsia" w:ascii="仿宋_GB2312" w:hAnsi="仿宋_GB2312" w:eastAsia="仿宋_GB2312" w:cs="仿宋_GB2312"/>
          <w:b/>
          <w:sz w:val="30"/>
        </w:rPr>
        <w:t>修订并施行）</w:t>
      </w:r>
      <w:bookmarkEnd w:id="194"/>
      <w:bookmarkEnd w:id="195"/>
      <w:bookmarkEnd w:id="196"/>
      <w:bookmarkEnd w:id="197"/>
      <w:bookmarkEnd w:id="198"/>
      <w:bookmarkEnd w:id="199"/>
      <w:bookmarkEnd w:id="200"/>
      <w:bookmarkEnd w:id="201"/>
      <w:bookmarkEnd w:id="202"/>
      <w:bookmarkEnd w:id="203"/>
      <w:bookmarkEnd w:id="204"/>
      <w:bookmarkEnd w:id="205"/>
      <w:bookmarkEnd w:id="206"/>
    </w:p>
    <w:p>
      <w:pPr>
        <w:ind w:firstLine="588" w:firstLineChars="196"/>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了解处置证券公司风险的总体原则；</w:t>
      </w:r>
      <w:r>
        <w:rPr>
          <w:rFonts w:hint="eastAsia" w:ascii="Times New Roman" w:hAnsi="Times New Roman" w:eastAsia="仿宋_GB2312"/>
          <w:color w:val="000000"/>
          <w:kern w:val="0"/>
          <w:sz w:val="30"/>
          <w:szCs w:val="30"/>
        </w:rPr>
        <w:t>掌握证券公司被国务院证券监督管理机构停业整顿、托管、接管的情形</w:t>
      </w:r>
      <w:r>
        <w:rPr>
          <w:rFonts w:ascii="Times New Roman" w:hAnsi="Times New Roman" w:eastAsia="仿宋_GB2312"/>
          <w:color w:val="000000"/>
          <w:kern w:val="0"/>
          <w:sz w:val="30"/>
          <w:szCs w:val="30"/>
        </w:rPr>
        <w:t>；了解国务院证券监督管理机构</w:t>
      </w:r>
      <w:r>
        <w:rPr>
          <w:rFonts w:hint="eastAsia" w:ascii="Times New Roman" w:hAnsi="Times New Roman" w:eastAsia="仿宋_GB2312"/>
          <w:color w:val="000000"/>
          <w:kern w:val="0"/>
          <w:sz w:val="30"/>
          <w:szCs w:val="30"/>
        </w:rPr>
        <w:t>对证券公司进行</w:t>
      </w:r>
      <w:r>
        <w:rPr>
          <w:rFonts w:ascii="Times New Roman" w:hAnsi="Times New Roman" w:eastAsia="仿宋_GB2312"/>
          <w:color w:val="000000"/>
          <w:kern w:val="0"/>
          <w:sz w:val="30"/>
          <w:szCs w:val="30"/>
        </w:rPr>
        <w:t>行政重组</w:t>
      </w:r>
      <w:r>
        <w:rPr>
          <w:rFonts w:hint="eastAsia" w:ascii="Times New Roman" w:hAnsi="Times New Roman" w:eastAsia="仿宋_GB2312"/>
          <w:color w:val="000000"/>
          <w:kern w:val="0"/>
          <w:sz w:val="30"/>
          <w:szCs w:val="30"/>
        </w:rPr>
        <w:t>的</w:t>
      </w:r>
      <w:r>
        <w:rPr>
          <w:rFonts w:ascii="Times New Roman" w:hAnsi="Times New Roman" w:eastAsia="仿宋_GB2312"/>
          <w:color w:val="000000"/>
          <w:kern w:val="0"/>
          <w:sz w:val="30"/>
          <w:szCs w:val="30"/>
        </w:rPr>
        <w:t>条件、方式和期限的规定；</w:t>
      </w:r>
      <w:r>
        <w:rPr>
          <w:rFonts w:hint="eastAsia" w:ascii="Times New Roman" w:hAnsi="Times New Roman" w:eastAsia="仿宋_GB2312"/>
          <w:color w:val="000000"/>
          <w:kern w:val="0"/>
          <w:sz w:val="30"/>
          <w:szCs w:val="30"/>
        </w:rPr>
        <w:t>熟悉国务院证券监督管理机构撤销证券公司的情形</w:t>
      </w:r>
      <w:r>
        <w:rPr>
          <w:rFonts w:ascii="Times New Roman" w:hAnsi="Times New Roman" w:eastAsia="仿宋_GB2312"/>
          <w:color w:val="000000"/>
          <w:kern w:val="0"/>
          <w:sz w:val="30"/>
          <w:szCs w:val="30"/>
        </w:rPr>
        <w:t>；了解证券公司风险处置过程中有关司法程序的规定。</w:t>
      </w:r>
    </w:p>
    <w:p>
      <w:pPr>
        <w:autoSpaceDE w:val="0"/>
        <w:autoSpaceDN w:val="0"/>
        <w:adjustRightInd w:val="0"/>
        <w:spacing w:afterLines="50"/>
        <w:ind w:firstLine="601"/>
        <w:jc w:val="center"/>
        <w:rPr>
          <w:rFonts w:ascii="Times New Roman" w:hAnsi="Times New Roman" w:eastAsia="华文中宋"/>
          <w:b/>
          <w:kern w:val="0"/>
          <w:sz w:val="30"/>
          <w:szCs w:val="20"/>
          <w:lang w:val="zh-CN"/>
        </w:rPr>
      </w:pPr>
    </w:p>
    <w:p>
      <w:pPr>
        <w:pStyle w:val="2"/>
        <w:spacing w:before="312" w:after="312"/>
        <w:rPr>
          <w:rFonts w:hint="default"/>
          <w:lang w:val="zh-CN"/>
        </w:rPr>
      </w:pPr>
      <w:bookmarkStart w:id="207" w:name="_Toc3521"/>
      <w:bookmarkStart w:id="208" w:name="_Toc29792"/>
      <w:bookmarkStart w:id="209" w:name="_Toc1028259391"/>
      <w:bookmarkStart w:id="210" w:name="_Toc12143"/>
      <w:bookmarkStart w:id="211" w:name="_Toc17082"/>
      <w:bookmarkStart w:id="212" w:name="_Toc6040"/>
      <w:bookmarkStart w:id="213" w:name="_Toc1794479620"/>
      <w:bookmarkStart w:id="214" w:name="_Toc4520"/>
      <w:bookmarkStart w:id="215" w:name="_Toc43054385"/>
      <w:bookmarkStart w:id="216" w:name="_Toc22174"/>
      <w:bookmarkStart w:id="217" w:name="_Toc19794"/>
      <w:bookmarkStart w:id="218" w:name="_Toc109809362"/>
      <w:bookmarkStart w:id="219" w:name="_Toc30223"/>
      <w:r>
        <w:rPr>
          <w:lang w:val="zh-CN"/>
        </w:rPr>
        <w:t>第二部分 经营管理类</w:t>
      </w:r>
      <w:bookmarkEnd w:id="207"/>
      <w:bookmarkEnd w:id="208"/>
      <w:bookmarkEnd w:id="209"/>
      <w:bookmarkEnd w:id="210"/>
      <w:bookmarkEnd w:id="211"/>
      <w:bookmarkEnd w:id="212"/>
      <w:bookmarkEnd w:id="213"/>
      <w:bookmarkEnd w:id="214"/>
      <w:bookmarkEnd w:id="215"/>
      <w:bookmarkEnd w:id="216"/>
      <w:bookmarkEnd w:id="217"/>
      <w:bookmarkEnd w:id="218"/>
      <w:bookmarkEnd w:id="219"/>
    </w:p>
    <w:p>
      <w:pPr>
        <w:pStyle w:val="3"/>
        <w:ind w:firstLine="602"/>
        <w:rPr>
          <w:rFonts w:hint="default"/>
        </w:rPr>
      </w:pPr>
      <w:bookmarkStart w:id="220" w:name="_Toc109809363"/>
      <w:bookmarkStart w:id="221" w:name="_Toc26844"/>
      <w:bookmarkStart w:id="222" w:name="_Toc586390038"/>
      <w:bookmarkStart w:id="223" w:name="_Toc2170"/>
      <w:bookmarkStart w:id="224" w:name="_Toc11754"/>
      <w:bookmarkStart w:id="225" w:name="_Toc734079435"/>
      <w:bookmarkStart w:id="226" w:name="_Toc28404"/>
      <w:bookmarkStart w:id="227" w:name="_Toc23536"/>
      <w:bookmarkStart w:id="228" w:name="_Toc7044"/>
      <w:bookmarkStart w:id="229" w:name="_Toc2141574521"/>
      <w:bookmarkStart w:id="230" w:name="_Toc4906"/>
      <w:bookmarkStart w:id="231" w:name="_Toc15605"/>
      <w:bookmarkStart w:id="232" w:name="_Toc14015"/>
      <w:r>
        <w:t>（一）公司、子公司及分支机构设立、管理</w:t>
      </w:r>
      <w:bookmarkEnd w:id="220"/>
      <w:bookmarkEnd w:id="221"/>
      <w:bookmarkEnd w:id="222"/>
      <w:bookmarkEnd w:id="223"/>
      <w:bookmarkEnd w:id="224"/>
      <w:bookmarkEnd w:id="225"/>
      <w:bookmarkEnd w:id="226"/>
      <w:bookmarkEnd w:id="227"/>
      <w:bookmarkEnd w:id="228"/>
      <w:bookmarkEnd w:id="229"/>
      <w:bookmarkEnd w:id="230"/>
      <w:bookmarkEnd w:id="231"/>
      <w:bookmarkEnd w:id="232"/>
    </w:p>
    <w:p>
      <w:pPr>
        <w:pStyle w:val="4"/>
        <w:ind w:firstLine="602"/>
        <w:rPr>
          <w:rFonts w:ascii="仿宋_GB2312" w:hAnsi="仿宋_GB2312" w:cs="仿宋_GB2312"/>
        </w:rPr>
      </w:pPr>
      <w:bookmarkStart w:id="233" w:name="_Toc10902"/>
      <w:bookmarkStart w:id="234" w:name="_Toc16501"/>
      <w:bookmarkStart w:id="235" w:name="_Toc32599"/>
      <w:bookmarkStart w:id="236" w:name="_Toc14443"/>
      <w:bookmarkStart w:id="237" w:name="_Toc825254794"/>
      <w:bookmarkStart w:id="238" w:name="_Toc25048"/>
      <w:bookmarkStart w:id="239" w:name="_Toc16801"/>
      <w:bookmarkStart w:id="240" w:name="_Toc32614"/>
      <w:bookmarkStart w:id="241" w:name="_Toc22619"/>
      <w:bookmarkStart w:id="242" w:name="_Toc109809364"/>
      <w:bookmarkStart w:id="243" w:name="_Toc367467672"/>
      <w:bookmarkStart w:id="244" w:name="_Toc194420765"/>
      <w:bookmarkStart w:id="245" w:name="_Toc6027"/>
      <w:r>
        <w:rPr>
          <w:rFonts w:hint="eastAsia" w:ascii="仿宋_GB2312" w:hAnsi="仿宋_GB2312" w:cs="仿宋_GB2312"/>
        </w:rPr>
        <w:t>1</w:t>
      </w:r>
      <w:r>
        <w:t>．</w:t>
      </w:r>
      <w:r>
        <w:rPr>
          <w:rFonts w:hint="eastAsia" w:ascii="仿宋_GB2312" w:hAnsi="仿宋_GB2312" w:cs="仿宋_GB2312"/>
        </w:rPr>
        <w:t>《证券公司股权管理规定》（2019年7月5日公布，2021年3月18日最新修</w:t>
      </w:r>
      <w:r>
        <w:rPr>
          <w:rFonts w:hint="eastAsia" w:ascii="仿宋_GB2312" w:hAnsi="仿宋_GB2312" w:cs="仿宋_GB2312"/>
          <w:lang w:eastAsia="zh-CN"/>
        </w:rPr>
        <w:t>订</w:t>
      </w:r>
      <w:r>
        <w:rPr>
          <w:rFonts w:hint="eastAsia" w:ascii="仿宋_GB2312" w:hAnsi="仿宋_GB2312" w:cs="仿宋_GB2312"/>
        </w:rPr>
        <w:t>，2021年4月18日起施行）</w:t>
      </w:r>
      <w:bookmarkEnd w:id="233"/>
      <w:bookmarkEnd w:id="234"/>
      <w:bookmarkEnd w:id="235"/>
      <w:bookmarkEnd w:id="236"/>
      <w:bookmarkEnd w:id="237"/>
      <w:bookmarkEnd w:id="238"/>
      <w:bookmarkEnd w:id="239"/>
      <w:bookmarkEnd w:id="240"/>
      <w:bookmarkEnd w:id="241"/>
      <w:bookmarkEnd w:id="242"/>
      <w:bookmarkEnd w:id="243"/>
      <w:bookmarkEnd w:id="244"/>
      <w:bookmarkEnd w:id="245"/>
    </w:p>
    <w:p>
      <w:pPr>
        <w:ind w:firstLine="663" w:firstLineChars="221"/>
        <w:rPr>
          <w:rFonts w:ascii="Times New Roman" w:eastAsia="仿宋_GB2312"/>
          <w:color w:val="000000"/>
          <w:sz w:val="30"/>
          <w:szCs w:val="30"/>
        </w:rPr>
      </w:pPr>
      <w:r>
        <w:rPr>
          <w:rFonts w:hint="eastAsia" w:ascii="Times New Roman" w:eastAsia="仿宋_GB2312"/>
          <w:color w:val="000000"/>
          <w:sz w:val="30"/>
          <w:szCs w:val="30"/>
        </w:rPr>
        <w:t>掌握证券公司股权管理应当遵循的原则；掌握证券公司股东类别的规定；熟悉证券公司注册资本、股权结构变更的相关规定；掌握证券公司各类股东应当满足的资质条件；熟悉证券公司股权管理事务的办事机构、责任主体；掌握证券公司股东以及股东的控股股东、实际控制人参股、控制证券公司的规定；掌握穿透核查证券公司股东股权结构、资金来源，禁止以非自有资金入股的规定；了解证券公司股东质押所持证券公司股权的规定；了解证券公司应当在公司章程中载明的关于股权管理的监管要求；掌握证券公司股东及其控股股东、实际控制人的禁止性行为。</w:t>
      </w:r>
    </w:p>
    <w:p>
      <w:pPr>
        <w:pStyle w:val="4"/>
        <w:ind w:firstLine="602"/>
        <w:rPr>
          <w:rFonts w:ascii="仿宋_GB2312" w:hAnsi="仿宋_GB2312" w:cs="仿宋_GB2312"/>
        </w:rPr>
      </w:pPr>
      <w:bookmarkStart w:id="246" w:name="_Toc15953"/>
      <w:bookmarkStart w:id="247" w:name="_Toc12208"/>
      <w:bookmarkStart w:id="248" w:name="_Toc446"/>
      <w:bookmarkStart w:id="249" w:name="_Toc26926"/>
      <w:bookmarkStart w:id="250" w:name="_Toc678084351"/>
      <w:bookmarkStart w:id="251" w:name="_Toc17236"/>
      <w:bookmarkStart w:id="252" w:name="_Toc18084"/>
      <w:bookmarkStart w:id="253" w:name="_Toc7113"/>
      <w:bookmarkStart w:id="254" w:name="_Toc21524"/>
      <w:bookmarkStart w:id="255" w:name="_Toc489176604"/>
      <w:bookmarkStart w:id="256" w:name="_Toc13908"/>
      <w:bookmarkStart w:id="257" w:name="_Toc684933276"/>
      <w:bookmarkStart w:id="258" w:name="_Toc109809365"/>
      <w:r>
        <w:rPr>
          <w:rFonts w:hint="eastAsia" w:ascii="仿宋_GB2312" w:hAnsi="仿宋_GB2312" w:cs="仿宋_GB2312"/>
        </w:rPr>
        <w:t>2</w:t>
      </w:r>
      <w:r>
        <w:t>．</w:t>
      </w:r>
      <w:r>
        <w:rPr>
          <w:rFonts w:hint="eastAsia" w:ascii="仿宋_GB2312" w:hAnsi="仿宋_GB2312" w:cs="仿宋_GB2312"/>
        </w:rPr>
        <w:t>《外商投资证券公司管理办法》（2018年4月28日公布，2020年3月20日最新修</w:t>
      </w:r>
      <w:r>
        <w:rPr>
          <w:rFonts w:hint="eastAsia" w:ascii="仿宋_GB2312" w:hAnsi="仿宋_GB2312" w:cs="仿宋_GB2312"/>
          <w:lang w:eastAsia="zh-CN"/>
        </w:rPr>
        <w:t>订</w:t>
      </w:r>
      <w:r>
        <w:rPr>
          <w:rFonts w:hint="eastAsia" w:ascii="仿宋_GB2312" w:hAnsi="仿宋_GB2312" w:cs="仿宋_GB2312"/>
        </w:rPr>
        <w:t>并施行）</w:t>
      </w:r>
      <w:bookmarkEnd w:id="246"/>
      <w:bookmarkEnd w:id="247"/>
      <w:bookmarkEnd w:id="248"/>
      <w:bookmarkEnd w:id="249"/>
      <w:bookmarkEnd w:id="250"/>
      <w:bookmarkEnd w:id="251"/>
      <w:bookmarkEnd w:id="252"/>
      <w:bookmarkEnd w:id="253"/>
      <w:bookmarkEnd w:id="254"/>
      <w:bookmarkEnd w:id="255"/>
      <w:bookmarkEnd w:id="256"/>
      <w:bookmarkEnd w:id="257"/>
      <w:bookmarkEnd w:id="258"/>
    </w:p>
    <w:p>
      <w:pPr>
        <w:ind w:firstLine="663" w:firstLineChars="221"/>
        <w:rPr>
          <w:rFonts w:ascii="Times New Roman" w:eastAsia="仿宋_GB2312"/>
          <w:color w:val="000000"/>
          <w:sz w:val="30"/>
          <w:szCs w:val="30"/>
        </w:rPr>
      </w:pPr>
      <w:r>
        <w:rPr>
          <w:rFonts w:hint="eastAsia" w:ascii="Times New Roman" w:eastAsia="仿宋_GB2312"/>
          <w:color w:val="000000"/>
          <w:sz w:val="30"/>
          <w:szCs w:val="30"/>
        </w:rPr>
        <w:t>掌握外商投资证券公司的种类；掌握设立外商投资证券公司应当符合的条件；熟悉外商投资证券公司的境外股东应当具备的条件；熟悉外商投资证券公司的设立程序。</w:t>
      </w:r>
    </w:p>
    <w:p>
      <w:pPr>
        <w:pStyle w:val="4"/>
        <w:ind w:firstLine="602"/>
        <w:rPr>
          <w:rFonts w:ascii="仿宋_GB2312" w:hAnsi="仿宋_GB2312" w:cs="仿宋_GB2312"/>
        </w:rPr>
      </w:pPr>
      <w:bookmarkStart w:id="259" w:name="_Toc25061"/>
      <w:bookmarkStart w:id="260" w:name="_Toc23137"/>
      <w:bookmarkStart w:id="261" w:name="_Toc7822"/>
      <w:bookmarkStart w:id="262" w:name="_Toc109809366"/>
      <w:bookmarkStart w:id="263" w:name="_Toc235339705"/>
      <w:bookmarkStart w:id="264" w:name="_Toc29068"/>
      <w:bookmarkStart w:id="265" w:name="_Toc27979"/>
      <w:bookmarkStart w:id="266" w:name="_Toc31140"/>
      <w:bookmarkStart w:id="267" w:name="_Toc232007006"/>
      <w:bookmarkStart w:id="268" w:name="_Toc5900"/>
      <w:bookmarkStart w:id="269" w:name="_Toc4189"/>
      <w:bookmarkStart w:id="270" w:name="_Toc89759515"/>
      <w:bookmarkStart w:id="271" w:name="_Toc13251"/>
      <w:r>
        <w:rPr>
          <w:rFonts w:hint="eastAsia" w:ascii="仿宋_GB2312" w:hAnsi="仿宋_GB2312" w:cs="仿宋_GB2312"/>
        </w:rPr>
        <w:t>3</w:t>
      </w:r>
      <w:r>
        <w:t>．</w:t>
      </w:r>
      <w:r>
        <w:rPr>
          <w:rFonts w:hint="eastAsia" w:ascii="仿宋_GB2312" w:hAnsi="仿宋_GB2312" w:cs="仿宋_GB2312"/>
        </w:rPr>
        <w:t>《证券公司业务范围审批暂行规定》（2008年10月30日公布，2020年10月30日最新修</w:t>
      </w:r>
      <w:r>
        <w:rPr>
          <w:rFonts w:hint="eastAsia" w:ascii="仿宋_GB2312" w:hAnsi="仿宋_GB2312" w:cs="仿宋_GB2312"/>
          <w:lang w:eastAsia="zh-CN"/>
        </w:rPr>
        <w:t>订</w:t>
      </w:r>
      <w:r>
        <w:rPr>
          <w:rFonts w:hint="eastAsia" w:ascii="仿宋_GB2312" w:hAnsi="仿宋_GB2312" w:cs="仿宋_GB2312"/>
        </w:rPr>
        <w:t>并施行）</w:t>
      </w:r>
      <w:bookmarkEnd w:id="259"/>
      <w:bookmarkEnd w:id="260"/>
      <w:bookmarkEnd w:id="261"/>
      <w:bookmarkEnd w:id="262"/>
      <w:bookmarkEnd w:id="263"/>
      <w:bookmarkEnd w:id="264"/>
      <w:bookmarkEnd w:id="265"/>
      <w:bookmarkEnd w:id="266"/>
      <w:bookmarkEnd w:id="267"/>
      <w:bookmarkEnd w:id="268"/>
      <w:bookmarkEnd w:id="269"/>
      <w:bookmarkEnd w:id="270"/>
      <w:bookmarkEnd w:id="271"/>
    </w:p>
    <w:p>
      <w:pPr>
        <w:ind w:firstLine="663" w:firstLineChars="221"/>
        <w:rPr>
          <w:rFonts w:ascii="Times New Roman" w:hAnsi="Times New Roman" w:eastAsia="仿宋_GB2312"/>
          <w:color w:val="FF0000"/>
          <w:sz w:val="30"/>
          <w:szCs w:val="30"/>
        </w:rPr>
      </w:pPr>
      <w:r>
        <w:rPr>
          <w:rFonts w:ascii="Times New Roman" w:hAnsi="Times New Roman" w:eastAsia="仿宋_GB2312"/>
          <w:color w:val="000000"/>
          <w:kern w:val="0"/>
          <w:sz w:val="30"/>
          <w:szCs w:val="30"/>
        </w:rPr>
        <w:t>掌握证券公司</w:t>
      </w:r>
      <w:r>
        <w:rPr>
          <w:rFonts w:hint="eastAsia" w:ascii="Times New Roman" w:hAnsi="Times New Roman" w:eastAsia="仿宋_GB2312"/>
          <w:color w:val="000000"/>
          <w:kern w:val="0"/>
          <w:sz w:val="30"/>
          <w:szCs w:val="30"/>
        </w:rPr>
        <w:t>向</w:t>
      </w:r>
      <w:r>
        <w:rPr>
          <w:rFonts w:ascii="Times New Roman" w:hAnsi="Times New Roman" w:eastAsia="仿宋_GB2312"/>
          <w:color w:val="000000"/>
          <w:kern w:val="0"/>
          <w:sz w:val="30"/>
          <w:szCs w:val="30"/>
        </w:rPr>
        <w:t>其证券经纪业务客户提供证券投资咨询服务</w:t>
      </w:r>
      <w:r>
        <w:rPr>
          <w:rFonts w:hint="eastAsia" w:ascii="Times New Roman" w:hAnsi="Times New Roman" w:eastAsia="仿宋_GB2312"/>
          <w:color w:val="000000"/>
          <w:kern w:val="0"/>
          <w:sz w:val="30"/>
          <w:szCs w:val="30"/>
        </w:rPr>
        <w:t>而无须取得证券投资咨询业务资格的条件</w:t>
      </w:r>
      <w:r>
        <w:rPr>
          <w:rFonts w:ascii="Times New Roman" w:hAnsi="Times New Roman" w:eastAsia="仿宋_GB2312"/>
          <w:color w:val="000000"/>
          <w:kern w:val="0"/>
          <w:sz w:val="30"/>
          <w:szCs w:val="30"/>
        </w:rPr>
        <w:t>；掌握证券公司使用自有资金投资证券而无须取得证券自营业务资格的条件；熟悉不得经营相同业务的证券公司范围；熟悉新设</w:t>
      </w:r>
      <w:r>
        <w:rPr>
          <w:rFonts w:hint="eastAsia" w:ascii="Times New Roman" w:hAnsi="Times New Roman" w:eastAsia="仿宋_GB2312"/>
          <w:color w:val="000000"/>
          <w:kern w:val="0"/>
          <w:sz w:val="30"/>
          <w:szCs w:val="30"/>
        </w:rPr>
        <w:t>证券</w:t>
      </w:r>
      <w:r>
        <w:rPr>
          <w:rFonts w:ascii="Times New Roman" w:hAnsi="Times New Roman" w:eastAsia="仿宋_GB2312"/>
          <w:color w:val="000000"/>
          <w:kern w:val="0"/>
          <w:sz w:val="30"/>
          <w:szCs w:val="30"/>
        </w:rPr>
        <w:t>公司核准的业务</w:t>
      </w:r>
      <w:r>
        <w:rPr>
          <w:rFonts w:hint="eastAsia" w:ascii="Times New Roman" w:hAnsi="Times New Roman" w:eastAsia="仿宋_GB2312"/>
          <w:color w:val="000000"/>
          <w:kern w:val="0"/>
          <w:sz w:val="30"/>
          <w:szCs w:val="30"/>
        </w:rPr>
        <w:t>种类</w:t>
      </w:r>
      <w:r>
        <w:rPr>
          <w:rFonts w:ascii="Times New Roman" w:hAnsi="Times New Roman" w:eastAsia="仿宋_GB2312"/>
          <w:color w:val="000000"/>
          <w:kern w:val="0"/>
          <w:sz w:val="30"/>
          <w:szCs w:val="30"/>
        </w:rPr>
        <w:t>和证券公司一次增加的业务</w:t>
      </w:r>
      <w:r>
        <w:rPr>
          <w:rFonts w:hint="eastAsia" w:ascii="Times New Roman" w:hAnsi="Times New Roman" w:eastAsia="仿宋_GB2312"/>
          <w:color w:val="000000"/>
          <w:kern w:val="0"/>
          <w:sz w:val="30"/>
          <w:szCs w:val="30"/>
        </w:rPr>
        <w:t>种类</w:t>
      </w:r>
      <w:r>
        <w:rPr>
          <w:rFonts w:ascii="Times New Roman" w:hAnsi="Times New Roman" w:eastAsia="仿宋_GB2312"/>
          <w:color w:val="000000"/>
          <w:kern w:val="0"/>
          <w:sz w:val="30"/>
          <w:szCs w:val="30"/>
        </w:rPr>
        <w:t>的限制；掌握证券公司增加业务种类需要符合的审慎性要求；了解不适用《证券公司业务范围审批暂行规定》的业务范围；熟悉证券公司违法违规经营业务、风险控制指标不符合规定或者出现其他法定情形时</w:t>
      </w:r>
      <w:r>
        <w:rPr>
          <w:rFonts w:hint="eastAsia" w:ascii="Times New Roman" w:hAnsi="Times New Roman" w:eastAsia="仿宋_GB2312"/>
          <w:color w:val="000000"/>
          <w:kern w:val="0"/>
          <w:sz w:val="30"/>
          <w:szCs w:val="30"/>
        </w:rPr>
        <w:t>，中国</w:t>
      </w:r>
      <w:r>
        <w:rPr>
          <w:rFonts w:ascii="Times New Roman" w:hAnsi="Times New Roman" w:eastAsia="仿宋_GB2312"/>
          <w:color w:val="000000"/>
          <w:kern w:val="0"/>
          <w:sz w:val="30"/>
          <w:szCs w:val="30"/>
        </w:rPr>
        <w:t>证监会及其派出机构可以采取的措施。</w:t>
      </w:r>
    </w:p>
    <w:p>
      <w:pPr>
        <w:pStyle w:val="4"/>
        <w:ind w:firstLine="602"/>
        <w:rPr>
          <w:rFonts w:ascii="仿宋_GB2312" w:hAnsi="仿宋_GB2312" w:cs="仿宋_GB2312"/>
        </w:rPr>
      </w:pPr>
      <w:bookmarkStart w:id="272" w:name="_Toc109809367"/>
      <w:bookmarkStart w:id="273" w:name="_Toc20741"/>
      <w:bookmarkStart w:id="274" w:name="_Toc22036"/>
      <w:bookmarkStart w:id="275" w:name="_Toc1006810627"/>
      <w:bookmarkStart w:id="276" w:name="_Toc25454"/>
      <w:bookmarkStart w:id="277" w:name="_Toc30889"/>
      <w:bookmarkStart w:id="278" w:name="_Toc157904537"/>
      <w:bookmarkStart w:id="279" w:name="_Toc31551"/>
      <w:bookmarkStart w:id="280" w:name="_Toc11385"/>
      <w:bookmarkStart w:id="281" w:name="_Toc18177"/>
      <w:bookmarkStart w:id="282" w:name="_Toc6151"/>
      <w:bookmarkStart w:id="283" w:name="_Toc2068768742"/>
      <w:bookmarkStart w:id="284" w:name="_Toc28855"/>
      <w:r>
        <w:rPr>
          <w:rFonts w:hint="eastAsia" w:ascii="仿宋_GB2312" w:hAnsi="仿宋_GB2312" w:cs="仿宋_GB2312"/>
        </w:rPr>
        <w:t>4</w:t>
      </w:r>
      <w:r>
        <w:t>．</w:t>
      </w:r>
      <w:r>
        <w:rPr>
          <w:rFonts w:hint="eastAsia" w:ascii="仿宋_GB2312" w:hAnsi="仿宋_GB2312" w:cs="仿宋_GB2312"/>
        </w:rPr>
        <w:t>《证券公司设立子公司试行规定》（2007年12月28日公布，2012年10月11日</w:t>
      </w:r>
      <w:r>
        <w:rPr>
          <w:rFonts w:hint="eastAsia" w:ascii="仿宋_GB2312" w:hAnsi="仿宋_GB2312" w:cs="仿宋_GB2312"/>
          <w:lang w:eastAsia="zh-CN"/>
        </w:rPr>
        <w:t>最新</w:t>
      </w:r>
      <w:r>
        <w:rPr>
          <w:rFonts w:hint="eastAsia" w:ascii="仿宋_GB2312" w:hAnsi="仿宋_GB2312" w:cs="仿宋_GB2312"/>
        </w:rPr>
        <w:t>修订并施行）</w:t>
      </w:r>
      <w:bookmarkEnd w:id="272"/>
      <w:bookmarkEnd w:id="273"/>
      <w:bookmarkEnd w:id="274"/>
      <w:bookmarkEnd w:id="275"/>
      <w:bookmarkEnd w:id="276"/>
      <w:bookmarkEnd w:id="277"/>
      <w:bookmarkEnd w:id="278"/>
      <w:bookmarkEnd w:id="279"/>
      <w:bookmarkEnd w:id="280"/>
      <w:bookmarkEnd w:id="281"/>
      <w:bookmarkEnd w:id="282"/>
      <w:bookmarkEnd w:id="283"/>
      <w:bookmarkEnd w:id="284"/>
    </w:p>
    <w:p>
      <w:pPr>
        <w:ind w:firstLine="600" w:firstLineChars="200"/>
        <w:rPr>
          <w:rFonts w:ascii="Times New Roman" w:hAnsi="Times New Roman" w:eastAsia="仿宋_GB2312"/>
          <w:color w:val="000000"/>
          <w:sz w:val="30"/>
          <w:szCs w:val="30"/>
        </w:rPr>
      </w:pPr>
      <w:r>
        <w:rPr>
          <w:rFonts w:ascii="Times New Roman" w:eastAsia="仿宋_GB2312"/>
          <w:color w:val="000000"/>
          <w:sz w:val="30"/>
          <w:szCs w:val="30"/>
        </w:rPr>
        <w:t>熟悉证券公司与其他投资者共同出资设立子公司的规定；掌握证券公司设立子公司应当符合的审慎性要求；了解可以申请扩大业务范围的证券公司子公司的条件；熟悉证券公司子公司的股东表决权的相关规定；熟悉证券公司应对子公司提供有关支持和服务的规定；掌握对证券公司子公司进行内部控制和风险管理的相关规定；了解证券公司通过受让、认购股权等方式控股其他证券公司的规定。</w:t>
      </w:r>
    </w:p>
    <w:p>
      <w:pPr>
        <w:pStyle w:val="4"/>
        <w:ind w:firstLine="602"/>
        <w:rPr>
          <w:rFonts w:ascii="仿宋_GB2312" w:hAnsi="仿宋_GB2312" w:cs="仿宋_GB2312"/>
        </w:rPr>
      </w:pPr>
      <w:bookmarkStart w:id="285" w:name="_Toc5085"/>
      <w:bookmarkStart w:id="286" w:name="_Toc2051503307"/>
      <w:bookmarkStart w:id="287" w:name="_Toc31439"/>
      <w:bookmarkStart w:id="288" w:name="_Toc383754505"/>
      <w:bookmarkStart w:id="289" w:name="_Toc109809368"/>
      <w:bookmarkStart w:id="290" w:name="_Toc1127794431"/>
      <w:bookmarkStart w:id="291" w:name="_Toc17750"/>
      <w:bookmarkStart w:id="292" w:name="_Toc22832"/>
      <w:bookmarkStart w:id="293" w:name="_Toc10493"/>
      <w:bookmarkStart w:id="294" w:name="_Toc16977"/>
      <w:bookmarkStart w:id="295" w:name="_Toc20534"/>
      <w:bookmarkStart w:id="296" w:name="_Toc8712"/>
      <w:bookmarkStart w:id="297" w:name="_Toc451"/>
      <w:r>
        <w:rPr>
          <w:rFonts w:hint="eastAsia" w:ascii="仿宋_GB2312" w:hAnsi="仿宋_GB2312" w:cs="仿宋_GB2312"/>
        </w:rPr>
        <w:t>5</w:t>
      </w:r>
      <w:r>
        <w:t>．</w:t>
      </w:r>
      <w:r>
        <w:rPr>
          <w:rFonts w:hint="eastAsia" w:ascii="仿宋_GB2312" w:hAnsi="仿宋_GB2312" w:cs="仿宋_GB2312"/>
        </w:rPr>
        <w:t>《证券公司分支机构监管规定》（2013年3月15日公布，2020年10月30日最新修</w:t>
      </w:r>
      <w:r>
        <w:rPr>
          <w:rFonts w:hint="eastAsia" w:ascii="仿宋_GB2312" w:hAnsi="仿宋_GB2312" w:cs="仿宋_GB2312"/>
          <w:lang w:eastAsia="zh-CN"/>
        </w:rPr>
        <w:t>订</w:t>
      </w:r>
      <w:r>
        <w:rPr>
          <w:rFonts w:hint="eastAsia" w:ascii="仿宋_GB2312" w:hAnsi="仿宋_GB2312" w:cs="仿宋_GB2312"/>
        </w:rPr>
        <w:t>并施行）</w:t>
      </w:r>
      <w:bookmarkEnd w:id="285"/>
      <w:bookmarkEnd w:id="286"/>
      <w:bookmarkEnd w:id="287"/>
      <w:bookmarkEnd w:id="288"/>
      <w:bookmarkEnd w:id="289"/>
      <w:bookmarkEnd w:id="290"/>
      <w:bookmarkEnd w:id="291"/>
      <w:bookmarkEnd w:id="292"/>
      <w:bookmarkEnd w:id="293"/>
      <w:bookmarkEnd w:id="294"/>
      <w:bookmarkEnd w:id="295"/>
      <w:bookmarkEnd w:id="296"/>
      <w:bookmarkEnd w:id="297"/>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熟悉证券公司分支机构设立、收购及业务范围相关规定</w:t>
      </w:r>
      <w:r>
        <w:rPr>
          <w:rFonts w:ascii="Times New Roman" w:eastAsia="仿宋_GB2312"/>
          <w:color w:val="000000"/>
          <w:sz w:val="30"/>
          <w:szCs w:val="30"/>
        </w:rPr>
        <w:t>；掌握客户利益保护的规定；</w:t>
      </w:r>
      <w:r>
        <w:rPr>
          <w:rFonts w:hint="eastAsia" w:ascii="Times New Roman" w:eastAsia="仿宋_GB2312"/>
          <w:color w:val="000000"/>
          <w:sz w:val="30"/>
          <w:szCs w:val="30"/>
        </w:rPr>
        <w:t>了解分支机构变更营业场所的要求；</w:t>
      </w:r>
      <w:r>
        <w:rPr>
          <w:rFonts w:ascii="Times New Roman" w:eastAsia="仿宋_GB2312"/>
          <w:color w:val="000000"/>
          <w:sz w:val="30"/>
          <w:szCs w:val="30"/>
        </w:rPr>
        <w:t>掌握证券公司设立、</w:t>
      </w:r>
      <w:r>
        <w:rPr>
          <w:rFonts w:hint="eastAsia" w:ascii="Times New Roman" w:eastAsia="仿宋_GB2312"/>
          <w:color w:val="000000"/>
          <w:sz w:val="30"/>
          <w:szCs w:val="30"/>
        </w:rPr>
        <w:t>收购、</w:t>
      </w:r>
      <w:r>
        <w:rPr>
          <w:rFonts w:ascii="Times New Roman" w:eastAsia="仿宋_GB2312"/>
          <w:color w:val="000000"/>
          <w:sz w:val="30"/>
          <w:szCs w:val="30"/>
        </w:rPr>
        <w:t>撤销分支机构的</w:t>
      </w:r>
      <w:r>
        <w:rPr>
          <w:rFonts w:hint="eastAsia" w:ascii="Times New Roman" w:eastAsia="仿宋_GB2312"/>
          <w:color w:val="000000"/>
          <w:sz w:val="30"/>
          <w:szCs w:val="30"/>
        </w:rPr>
        <w:t>备案</w:t>
      </w:r>
      <w:r>
        <w:rPr>
          <w:rFonts w:ascii="Times New Roman" w:eastAsia="仿宋_GB2312"/>
          <w:color w:val="000000"/>
          <w:sz w:val="30"/>
          <w:szCs w:val="30"/>
        </w:rPr>
        <w:t>义务；</w:t>
      </w:r>
      <w:r>
        <w:rPr>
          <w:rFonts w:hint="eastAsia" w:ascii="Times New Roman" w:eastAsia="仿宋_GB2312"/>
          <w:color w:val="000000"/>
          <w:sz w:val="30"/>
          <w:szCs w:val="30"/>
        </w:rPr>
        <w:t>熟悉证券公司分支机构的集中统一管理制度</w:t>
      </w:r>
      <w:r>
        <w:rPr>
          <w:rFonts w:ascii="Times New Roman" w:eastAsia="仿宋_GB2312"/>
          <w:color w:val="000000"/>
          <w:sz w:val="30"/>
          <w:szCs w:val="30"/>
        </w:rPr>
        <w:t>；了解证券公司分支机构负责人的管理制度；掌握证券公司分支机构的信息报送规定。</w:t>
      </w:r>
    </w:p>
    <w:p>
      <w:pPr>
        <w:pStyle w:val="4"/>
        <w:ind w:firstLine="602"/>
        <w:rPr>
          <w:rFonts w:ascii="仿宋_GB2312" w:hAnsi="仿宋_GB2312" w:cs="仿宋_GB2312"/>
        </w:rPr>
      </w:pPr>
      <w:bookmarkStart w:id="298" w:name="_Toc13703"/>
      <w:bookmarkStart w:id="299" w:name="_Toc109809369"/>
      <w:bookmarkStart w:id="300" w:name="_Toc32319"/>
      <w:bookmarkStart w:id="301" w:name="_Toc27361"/>
      <w:bookmarkStart w:id="302" w:name="_Toc12646"/>
      <w:bookmarkStart w:id="303" w:name="_Toc5450"/>
      <w:bookmarkStart w:id="304" w:name="_Toc27420023"/>
      <w:bookmarkStart w:id="305" w:name="_Toc7773"/>
      <w:bookmarkStart w:id="306" w:name="_Toc19156"/>
      <w:bookmarkStart w:id="307" w:name="_Toc5112"/>
      <w:bookmarkStart w:id="308" w:name="_Toc20235"/>
      <w:bookmarkStart w:id="309" w:name="_Toc875035430"/>
      <w:bookmarkStart w:id="310" w:name="_Toc1168074865"/>
      <w:r>
        <w:rPr>
          <w:rFonts w:hint="eastAsia" w:ascii="仿宋_GB2312" w:hAnsi="仿宋_GB2312" w:cs="仿宋_GB2312"/>
        </w:rPr>
        <w:t>6</w:t>
      </w:r>
      <w:r>
        <w:t>．</w:t>
      </w:r>
      <w:r>
        <w:rPr>
          <w:rFonts w:hint="eastAsia" w:ascii="仿宋_GB2312" w:hAnsi="仿宋_GB2312" w:cs="仿宋_GB2312"/>
        </w:rPr>
        <w:t>《证券公司私募投资基金子公司管理规范》（2016年12月30日发布，2024年5月10日最新修订，2024年5月31日起施行）</w:t>
      </w:r>
      <w:bookmarkEnd w:id="298"/>
      <w:bookmarkEnd w:id="299"/>
      <w:bookmarkEnd w:id="300"/>
      <w:bookmarkEnd w:id="301"/>
      <w:bookmarkEnd w:id="302"/>
      <w:bookmarkEnd w:id="303"/>
      <w:bookmarkEnd w:id="304"/>
      <w:bookmarkEnd w:id="305"/>
      <w:bookmarkEnd w:id="306"/>
      <w:bookmarkEnd w:id="307"/>
      <w:bookmarkEnd w:id="308"/>
      <w:bookmarkEnd w:id="309"/>
      <w:bookmarkEnd w:id="310"/>
    </w:p>
    <w:p>
      <w:pPr>
        <w:ind w:firstLine="600" w:firstLineChars="200"/>
        <w:rPr>
          <w:rFonts w:ascii="Times New Roman" w:hAnsi="Times New Roman" w:eastAsia="仿宋_GB2312"/>
          <w:color w:val="000000"/>
          <w:sz w:val="30"/>
          <w:szCs w:val="30"/>
        </w:rPr>
      </w:pPr>
      <w:r>
        <w:rPr>
          <w:rFonts w:hint="eastAsia" w:ascii="仿宋_GB2312" w:eastAsia="仿宋_GB2312"/>
          <w:color w:val="000000"/>
          <w:sz w:val="30"/>
          <w:szCs w:val="30"/>
        </w:rPr>
        <w:t>熟悉设立私募子公司的出资要求；掌握私募子公司业务规则相关要求；掌握对私募子公司进行内部控制的相关规定。</w:t>
      </w:r>
    </w:p>
    <w:p>
      <w:pPr>
        <w:pStyle w:val="4"/>
        <w:ind w:firstLine="602"/>
        <w:rPr>
          <w:rFonts w:ascii="仿宋_GB2312" w:hAnsi="仿宋_GB2312" w:cs="仿宋_GB2312"/>
        </w:rPr>
      </w:pPr>
      <w:bookmarkStart w:id="311" w:name="_Toc23823"/>
      <w:bookmarkStart w:id="312" w:name="_Toc16727"/>
      <w:bookmarkStart w:id="313" w:name="_Toc3128"/>
      <w:bookmarkStart w:id="314" w:name="_Toc57910793"/>
      <w:bookmarkStart w:id="315" w:name="_Toc8872"/>
      <w:bookmarkStart w:id="316" w:name="_Toc109809370"/>
      <w:bookmarkStart w:id="317" w:name="_Toc1255170818"/>
      <w:bookmarkStart w:id="318" w:name="_Toc19785"/>
      <w:bookmarkStart w:id="319" w:name="_Toc24087"/>
      <w:bookmarkStart w:id="320" w:name="_Toc1105"/>
      <w:bookmarkStart w:id="321" w:name="_Toc25156"/>
      <w:bookmarkStart w:id="322" w:name="_Toc31308"/>
      <w:bookmarkStart w:id="323" w:name="_Toc950560484"/>
      <w:r>
        <w:rPr>
          <w:rFonts w:hint="eastAsia" w:ascii="仿宋_GB2312" w:hAnsi="仿宋_GB2312" w:cs="仿宋_GB2312"/>
        </w:rPr>
        <w:t>7</w:t>
      </w:r>
      <w:r>
        <w:t>．</w:t>
      </w:r>
      <w:r>
        <w:rPr>
          <w:rFonts w:hint="eastAsia" w:ascii="仿宋_GB2312" w:hAnsi="仿宋_GB2312" w:cs="仿宋_GB2312"/>
        </w:rPr>
        <w:t>《证券公司另类投资子公司管理规范》（2016年12月30日发布，2024年5月10日最新修订，2024年5月31日起施行）</w:t>
      </w:r>
      <w:bookmarkEnd w:id="311"/>
      <w:bookmarkEnd w:id="312"/>
      <w:bookmarkEnd w:id="313"/>
      <w:bookmarkEnd w:id="314"/>
      <w:bookmarkEnd w:id="315"/>
      <w:bookmarkEnd w:id="316"/>
      <w:bookmarkEnd w:id="317"/>
      <w:bookmarkEnd w:id="318"/>
      <w:bookmarkEnd w:id="319"/>
      <w:bookmarkEnd w:id="320"/>
      <w:bookmarkEnd w:id="321"/>
      <w:bookmarkEnd w:id="322"/>
      <w:bookmarkEnd w:id="323"/>
    </w:p>
    <w:p>
      <w:pPr>
        <w:ind w:firstLine="600" w:firstLineChars="200"/>
        <w:rPr>
          <w:rFonts w:ascii="仿宋_GB2312" w:hAnsi="Times New Roman" w:eastAsia="仿宋_GB2312"/>
          <w:color w:val="000000"/>
          <w:sz w:val="30"/>
          <w:szCs w:val="30"/>
        </w:rPr>
      </w:pPr>
      <w:r>
        <w:rPr>
          <w:rFonts w:ascii="仿宋_GB2312" w:hAnsi="Times New Roman" w:eastAsia="仿宋_GB2312"/>
          <w:color w:val="000000"/>
          <w:sz w:val="30"/>
          <w:szCs w:val="30"/>
        </w:rPr>
        <w:t>熟悉</w:t>
      </w:r>
      <w:r>
        <w:rPr>
          <w:rFonts w:hint="eastAsia" w:ascii="仿宋_GB2312" w:hAnsi="Times New Roman" w:eastAsia="仿宋_GB2312"/>
          <w:color w:val="000000"/>
          <w:sz w:val="30"/>
          <w:szCs w:val="30"/>
        </w:rPr>
        <w:t>设立</w:t>
      </w:r>
      <w:r>
        <w:rPr>
          <w:rFonts w:ascii="仿宋_GB2312" w:hAnsi="Times New Roman" w:eastAsia="仿宋_GB2312"/>
          <w:color w:val="000000"/>
          <w:sz w:val="30"/>
          <w:szCs w:val="30"/>
        </w:rPr>
        <w:t>另类投资子公司的出资要求</w:t>
      </w:r>
      <w:r>
        <w:rPr>
          <w:rFonts w:hint="eastAsia" w:ascii="仿宋_GB2312" w:hAnsi="Times New Roman" w:eastAsia="仿宋_GB2312"/>
          <w:color w:val="000000"/>
          <w:sz w:val="30"/>
          <w:szCs w:val="30"/>
        </w:rPr>
        <w:t>；</w:t>
      </w:r>
      <w:r>
        <w:rPr>
          <w:rFonts w:ascii="仿宋_GB2312" w:hAnsi="Times New Roman" w:eastAsia="仿宋_GB2312"/>
          <w:color w:val="000000"/>
          <w:sz w:val="30"/>
          <w:szCs w:val="30"/>
        </w:rPr>
        <w:t>掌握另类投资子公司经营边界和业务规则的规定</w:t>
      </w:r>
      <w:r>
        <w:rPr>
          <w:rFonts w:hint="eastAsia" w:ascii="仿宋_GB2312" w:hAnsi="Times New Roman" w:eastAsia="仿宋_GB2312"/>
          <w:color w:val="000000"/>
          <w:sz w:val="30"/>
          <w:szCs w:val="30"/>
        </w:rPr>
        <w:t>；</w:t>
      </w:r>
      <w:r>
        <w:rPr>
          <w:rFonts w:ascii="仿宋_GB2312" w:hAnsi="Times New Roman" w:eastAsia="仿宋_GB2312"/>
          <w:color w:val="000000"/>
          <w:sz w:val="30"/>
          <w:szCs w:val="30"/>
        </w:rPr>
        <w:t>掌握对另类投资子公司进行内部控制的相关规定。</w:t>
      </w:r>
    </w:p>
    <w:p>
      <w:pPr>
        <w:pStyle w:val="4"/>
        <w:ind w:firstLine="602"/>
        <w:rPr>
          <w:rFonts w:ascii="仿宋_GB2312" w:hAnsi="仿宋_GB2312" w:cs="仿宋_GB2312"/>
        </w:rPr>
      </w:pPr>
      <w:bookmarkStart w:id="324" w:name="_Toc23287"/>
      <w:bookmarkStart w:id="325" w:name="_Toc8454"/>
      <w:bookmarkStart w:id="326" w:name="_Toc109809371"/>
      <w:bookmarkStart w:id="327" w:name="_Toc8999"/>
      <w:bookmarkStart w:id="328" w:name="_Toc3810"/>
      <w:bookmarkStart w:id="329" w:name="_Toc28293"/>
      <w:bookmarkStart w:id="330" w:name="_Toc853026908"/>
      <w:bookmarkStart w:id="331" w:name="_Toc243380262"/>
      <w:bookmarkStart w:id="332" w:name="_Toc25494"/>
      <w:bookmarkStart w:id="333" w:name="_Toc2159"/>
      <w:bookmarkStart w:id="334" w:name="_Toc10689"/>
      <w:bookmarkStart w:id="335" w:name="_Toc13610"/>
      <w:bookmarkStart w:id="336" w:name="_Toc1268674463"/>
      <w:r>
        <w:rPr>
          <w:rFonts w:hint="eastAsia" w:ascii="仿宋_GB2312" w:hAnsi="仿宋_GB2312" w:cs="仿宋_GB2312"/>
        </w:rPr>
        <w:t>8</w:t>
      </w:r>
      <w:r>
        <w:t>．</w:t>
      </w:r>
      <w:r>
        <w:rPr>
          <w:rFonts w:hint="eastAsia" w:ascii="仿宋_GB2312" w:hAnsi="仿宋_GB2312" w:cs="仿宋_GB2312"/>
        </w:rPr>
        <w:t>《证券公司和证券投资基金管理公司境外设立、收购、参股经营机构管理办法》（2018年9月25日公布，2021年1月15日</w:t>
      </w:r>
      <w:r>
        <w:rPr>
          <w:rFonts w:hint="eastAsia" w:ascii="仿宋_GB2312" w:hAnsi="仿宋_GB2312" w:cs="仿宋_GB2312"/>
          <w:lang w:eastAsia="zh-CN"/>
        </w:rPr>
        <w:t>最新</w:t>
      </w:r>
      <w:r>
        <w:rPr>
          <w:rFonts w:hint="eastAsia" w:ascii="仿宋_GB2312" w:hAnsi="仿宋_GB2312" w:cs="仿宋_GB2312"/>
        </w:rPr>
        <w:t>修</w:t>
      </w:r>
      <w:r>
        <w:rPr>
          <w:rFonts w:hint="eastAsia" w:ascii="仿宋_GB2312" w:hAnsi="仿宋_GB2312" w:cs="仿宋_GB2312"/>
          <w:lang w:eastAsia="zh-CN"/>
        </w:rPr>
        <w:t>订</w:t>
      </w:r>
      <w:r>
        <w:rPr>
          <w:rFonts w:hint="eastAsia" w:ascii="仿宋_GB2312" w:hAnsi="仿宋_GB2312" w:cs="仿宋_GB2312"/>
        </w:rPr>
        <w:t>并施行）</w:t>
      </w:r>
      <w:bookmarkEnd w:id="324"/>
      <w:bookmarkEnd w:id="325"/>
      <w:bookmarkEnd w:id="326"/>
      <w:bookmarkEnd w:id="327"/>
      <w:bookmarkEnd w:id="328"/>
      <w:bookmarkEnd w:id="329"/>
      <w:bookmarkEnd w:id="330"/>
      <w:bookmarkEnd w:id="331"/>
      <w:bookmarkEnd w:id="332"/>
      <w:bookmarkEnd w:id="333"/>
      <w:bookmarkEnd w:id="334"/>
      <w:bookmarkEnd w:id="335"/>
      <w:bookmarkEnd w:id="336"/>
    </w:p>
    <w:p>
      <w:pPr>
        <w:ind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掌握证券公司在境外设立、收购子公司或者参股经营机构应当符合的条件；掌握境外子公司或者参股经营机构的业务范围；</w:t>
      </w:r>
      <w:r>
        <w:rPr>
          <w:rFonts w:hint="eastAsia" w:ascii="仿宋_GB2312" w:hAnsi="Times New Roman" w:eastAsia="仿宋_GB2312"/>
          <w:sz w:val="30"/>
          <w:szCs w:val="30"/>
        </w:rPr>
        <w:t>熟悉境外子公司的股权架构、返程设立子公司的相关规定；</w:t>
      </w:r>
      <w:r>
        <w:rPr>
          <w:rFonts w:hint="eastAsia" w:ascii="仿宋_GB2312" w:hAnsi="Times New Roman" w:eastAsia="仿宋_GB2312"/>
          <w:color w:val="000000"/>
          <w:sz w:val="30"/>
          <w:szCs w:val="30"/>
        </w:rPr>
        <w:t>掌握证券公司对境外机构的管理义务和责任；了解境外子公司章程应明确由境外子公司股东会、董事会审议的事项。</w:t>
      </w:r>
    </w:p>
    <w:p>
      <w:pPr>
        <w:pStyle w:val="3"/>
        <w:ind w:firstLine="602"/>
        <w:rPr>
          <w:rFonts w:hint="default"/>
        </w:rPr>
      </w:pPr>
      <w:bookmarkStart w:id="337" w:name="_Toc15124"/>
      <w:bookmarkStart w:id="338" w:name="_Toc545424672"/>
      <w:bookmarkStart w:id="339" w:name="_Toc109809372"/>
      <w:bookmarkStart w:id="340" w:name="_Toc24925"/>
      <w:bookmarkStart w:id="341" w:name="_Toc7020"/>
      <w:bookmarkStart w:id="342" w:name="_Toc24349"/>
      <w:bookmarkStart w:id="343" w:name="_Toc11587"/>
      <w:bookmarkStart w:id="344" w:name="_Toc17920"/>
      <w:bookmarkStart w:id="345" w:name="_Toc18061"/>
      <w:bookmarkStart w:id="346" w:name="_Toc2427"/>
      <w:bookmarkStart w:id="347" w:name="_Toc671980064"/>
      <w:bookmarkStart w:id="348" w:name="_Toc12317"/>
      <w:bookmarkStart w:id="349" w:name="_Toc1384576696"/>
      <w:r>
        <w:t>（二）公司治理、内部控制与信息披露</w:t>
      </w:r>
      <w:bookmarkEnd w:id="337"/>
      <w:bookmarkEnd w:id="338"/>
      <w:bookmarkEnd w:id="339"/>
      <w:bookmarkEnd w:id="340"/>
      <w:bookmarkEnd w:id="341"/>
      <w:bookmarkEnd w:id="342"/>
      <w:bookmarkEnd w:id="343"/>
      <w:bookmarkEnd w:id="344"/>
      <w:bookmarkEnd w:id="345"/>
      <w:bookmarkEnd w:id="346"/>
      <w:bookmarkEnd w:id="347"/>
      <w:bookmarkEnd w:id="348"/>
      <w:bookmarkEnd w:id="349"/>
    </w:p>
    <w:p>
      <w:pPr>
        <w:pStyle w:val="4"/>
        <w:ind w:firstLine="602"/>
        <w:rPr>
          <w:rFonts w:ascii="仿宋_GB2312" w:hAnsi="仿宋_GB2312" w:cs="仿宋_GB2312"/>
          <w:lang w:val="zh-CN"/>
        </w:rPr>
      </w:pPr>
      <w:bookmarkStart w:id="350" w:name="_Toc304594614"/>
      <w:bookmarkStart w:id="351" w:name="_Toc9796"/>
      <w:bookmarkStart w:id="352" w:name="_Toc109809373"/>
      <w:bookmarkStart w:id="353" w:name="_Toc22120"/>
      <w:bookmarkStart w:id="354" w:name="_Toc13989"/>
      <w:bookmarkStart w:id="355" w:name="_Toc273370370"/>
      <w:bookmarkStart w:id="356" w:name="_Toc26017"/>
      <w:bookmarkStart w:id="357" w:name="_Toc4124"/>
      <w:bookmarkStart w:id="358" w:name="_Toc136588092"/>
      <w:bookmarkStart w:id="359" w:name="_Toc4601"/>
      <w:bookmarkStart w:id="360" w:name="_Toc8380"/>
      <w:bookmarkStart w:id="361" w:name="_Toc28008"/>
      <w:bookmarkStart w:id="362" w:name="_Toc5870"/>
      <w:r>
        <w:rPr>
          <w:rFonts w:hint="eastAsia" w:ascii="仿宋_GB2312" w:hAnsi="仿宋_GB2312" w:cs="仿宋_GB2312"/>
        </w:rPr>
        <w:t xml:space="preserve">1. </w:t>
      </w:r>
      <w:r>
        <w:rPr>
          <w:rFonts w:hint="eastAsia" w:ascii="仿宋_GB2312" w:hAnsi="仿宋_GB2312" w:cs="仿宋_GB2312"/>
          <w:lang w:val="zh-CN"/>
        </w:rPr>
        <w:t>《关于加强证券公司和公募基金监管加快推进建设一流投资银行和投资机构的意见（试行）》（2024年3月15日公布并施行</w:t>
      </w:r>
      <w:bookmarkEnd w:id="350"/>
      <w:r>
        <w:rPr>
          <w:rFonts w:hint="eastAsia" w:ascii="仿宋_GB2312" w:hAnsi="仿宋_GB2312" w:cs="仿宋_GB2312"/>
          <w:lang w:val="zh-CN"/>
        </w:rPr>
        <w:t>）</w:t>
      </w:r>
    </w:p>
    <w:p>
      <w:pPr>
        <w:ind w:firstLine="600" w:firstLineChars="200"/>
        <w:rPr>
          <w:rFonts w:eastAsia="仿宋_GB2312"/>
          <w:sz w:val="30"/>
        </w:rPr>
      </w:pPr>
      <w:r>
        <w:rPr>
          <w:rFonts w:hint="eastAsia" w:eastAsia="仿宋_GB2312"/>
          <w:sz w:val="30"/>
          <w:lang w:eastAsia="zh-CN"/>
        </w:rPr>
        <w:t>掌握</w:t>
      </w:r>
      <w:r>
        <w:rPr>
          <w:rFonts w:hint="eastAsia" w:eastAsia="仿宋_GB2312"/>
          <w:sz w:val="30"/>
        </w:rPr>
        <w:t>意见</w:t>
      </w:r>
      <w:r>
        <w:rPr>
          <w:rFonts w:eastAsia="仿宋_GB2312"/>
          <w:sz w:val="30"/>
        </w:rPr>
        <w:t>总体要求；</w:t>
      </w:r>
      <w:r>
        <w:rPr>
          <w:rFonts w:hint="eastAsia" w:eastAsia="仿宋_GB2312"/>
          <w:sz w:val="30"/>
        </w:rPr>
        <w:t>掌握校正行业机构定位、夯实合规风控基础、优化行业发展生态</w:t>
      </w:r>
      <w:r>
        <w:rPr>
          <w:rFonts w:hint="eastAsia" w:eastAsia="仿宋_GB2312"/>
          <w:sz w:val="30"/>
          <w:lang w:eastAsia="zh-CN"/>
        </w:rPr>
        <w:t>、</w:t>
      </w:r>
      <w:r>
        <w:rPr>
          <w:rFonts w:hint="eastAsia" w:eastAsia="仿宋_GB2312"/>
          <w:sz w:val="30"/>
        </w:rPr>
        <w:t>促进行业功能发挥、</w:t>
      </w:r>
      <w:r>
        <w:rPr>
          <w:rFonts w:hint="eastAsia" w:eastAsia="仿宋_GB2312"/>
          <w:sz w:val="30"/>
          <w:lang w:eastAsia="zh-CN"/>
        </w:rPr>
        <w:t>全面加强监管执法、</w:t>
      </w:r>
      <w:r>
        <w:rPr>
          <w:rFonts w:hint="eastAsia" w:eastAsia="仿宋_GB2312"/>
          <w:sz w:val="30"/>
        </w:rPr>
        <w:t>防范化解金融风险的主要</w:t>
      </w:r>
      <w:r>
        <w:rPr>
          <w:rFonts w:eastAsia="仿宋_GB2312"/>
          <w:sz w:val="30"/>
        </w:rPr>
        <w:t>内容</w:t>
      </w:r>
      <w:r>
        <w:rPr>
          <w:rFonts w:hint="eastAsia" w:eastAsia="仿宋_GB2312"/>
          <w:sz w:val="30"/>
        </w:rPr>
        <w:t>。</w:t>
      </w:r>
    </w:p>
    <w:p>
      <w:pPr>
        <w:pStyle w:val="4"/>
        <w:ind w:firstLine="602"/>
        <w:rPr>
          <w:rFonts w:ascii="仿宋_GB2312" w:hAnsi="仿宋_GB2312" w:cs="仿宋_GB2312"/>
        </w:rPr>
      </w:pPr>
      <w:bookmarkStart w:id="363" w:name="_Toc1721474242"/>
      <w:r>
        <w:rPr>
          <w:rFonts w:hint="eastAsia" w:ascii="仿宋_GB2312" w:hAnsi="仿宋_GB2312" w:cs="仿宋_GB2312"/>
        </w:rPr>
        <w:t>2</w:t>
      </w:r>
      <w:r>
        <w:t>．</w:t>
      </w:r>
      <w:r>
        <w:rPr>
          <w:rFonts w:hint="eastAsia" w:ascii="仿宋_GB2312" w:hAnsi="仿宋_GB2312" w:cs="仿宋_GB2312"/>
        </w:rPr>
        <w:t>《证券公司治理准则》（2012年12月11日公布，2020年3月30日最新修</w:t>
      </w:r>
      <w:r>
        <w:rPr>
          <w:rFonts w:hint="eastAsia" w:ascii="仿宋_GB2312" w:hAnsi="仿宋_GB2312" w:cs="仿宋_GB2312"/>
          <w:lang w:eastAsia="zh-CN"/>
        </w:rPr>
        <w:t>订</w:t>
      </w:r>
      <w:r>
        <w:rPr>
          <w:rFonts w:hint="eastAsia" w:ascii="仿宋_GB2312" w:hAnsi="仿宋_GB2312" w:cs="仿宋_GB2312"/>
        </w:rPr>
        <w:t>并施行）</w:t>
      </w:r>
      <w:bookmarkEnd w:id="351"/>
      <w:bookmarkEnd w:id="352"/>
      <w:bookmarkEnd w:id="353"/>
      <w:bookmarkEnd w:id="354"/>
      <w:bookmarkEnd w:id="355"/>
      <w:bookmarkEnd w:id="356"/>
      <w:bookmarkEnd w:id="357"/>
      <w:bookmarkEnd w:id="358"/>
      <w:bookmarkEnd w:id="359"/>
      <w:bookmarkEnd w:id="360"/>
      <w:bookmarkEnd w:id="361"/>
      <w:bookmarkEnd w:id="362"/>
      <w:bookmarkEnd w:id="363"/>
    </w:p>
    <w:p>
      <w:pPr>
        <w:pStyle w:val="8"/>
        <w:ind w:firstLine="600" w:firstLineChars="200"/>
        <w:rPr>
          <w:rFonts w:ascii="仿宋_GB2312" w:hAnsi="Times New Roman" w:eastAsia="仿宋_GB2312"/>
          <w:color w:val="000000"/>
          <w:szCs w:val="30"/>
        </w:rPr>
      </w:pPr>
      <w:r>
        <w:rPr>
          <w:rFonts w:hint="eastAsia" w:ascii="仿宋_GB2312" w:hAnsi="Times New Roman" w:eastAsia="仿宋_GB2312"/>
          <w:color w:val="000000"/>
          <w:szCs w:val="30"/>
        </w:rPr>
        <w:t>熟悉证券公司及其控股股东的诚信义务；掌握证券公司股东、实际控制人出现特定情形时的报告义务；熟悉证券公司股东享有的知情权；掌握证券公司董事、监事、高级管理人员以及股东向股东会提案的规定；掌握证券公司股东推选董事、监事的规定；掌握证券公司董事、监事选举采用累积投票制的规定；掌握证券公司与其股东、实际控制人或者其他关联方“五分开”“三独立”的要求；掌握证券公司与其股东或股东的关联方之间的禁止行为；熟悉董事会关联交易议案的表决程序；熟悉董事会秘书的职责；熟悉董事会专门委员会的设立要求和职责；了解证券公司监事会的构成及职权；了解证券公司董事、监事和高级管理人员薪酬管理的相关要求。</w:t>
      </w:r>
    </w:p>
    <w:p>
      <w:pPr>
        <w:pStyle w:val="4"/>
        <w:ind w:firstLine="602"/>
        <w:rPr>
          <w:rFonts w:ascii="仿宋_GB2312" w:hAnsi="仿宋_GB2312" w:cs="仿宋_GB2312"/>
        </w:rPr>
      </w:pPr>
      <w:bookmarkStart w:id="364" w:name="_Toc1527874727"/>
      <w:bookmarkStart w:id="365" w:name="_Toc29082"/>
      <w:bookmarkStart w:id="366" w:name="_Toc17089"/>
      <w:bookmarkStart w:id="367" w:name="_Toc17864"/>
      <w:bookmarkStart w:id="368" w:name="_Toc32529"/>
      <w:bookmarkStart w:id="369" w:name="_Toc1607471747"/>
      <w:bookmarkStart w:id="370" w:name="_Toc28880"/>
      <w:bookmarkStart w:id="371" w:name="_Toc12229"/>
      <w:bookmarkStart w:id="372" w:name="_Toc30194"/>
      <w:bookmarkStart w:id="373" w:name="_Toc22535"/>
      <w:bookmarkStart w:id="374" w:name="_Toc3550"/>
      <w:bookmarkStart w:id="375" w:name="_Toc593964878"/>
      <w:bookmarkStart w:id="376" w:name="_Toc109809374"/>
      <w:r>
        <w:rPr>
          <w:rFonts w:hint="eastAsia" w:ascii="仿宋_GB2312" w:hAnsi="仿宋_GB2312" w:cs="仿宋_GB2312"/>
        </w:rPr>
        <w:t>3</w:t>
      </w:r>
      <w:r>
        <w:t>．</w:t>
      </w:r>
      <w:r>
        <w:rPr>
          <w:rFonts w:hint="eastAsia" w:ascii="仿宋_GB2312" w:hAnsi="仿宋_GB2312" w:cs="仿宋_GB2312"/>
        </w:rPr>
        <w:t>《证券公司内部控制指引》（2003年12月15日发布并施行）</w:t>
      </w:r>
      <w:bookmarkEnd w:id="364"/>
      <w:bookmarkEnd w:id="365"/>
      <w:bookmarkEnd w:id="366"/>
      <w:bookmarkEnd w:id="367"/>
      <w:bookmarkEnd w:id="368"/>
      <w:bookmarkEnd w:id="369"/>
      <w:bookmarkEnd w:id="370"/>
      <w:bookmarkEnd w:id="371"/>
      <w:bookmarkEnd w:id="372"/>
      <w:bookmarkEnd w:id="373"/>
      <w:bookmarkEnd w:id="374"/>
      <w:bookmarkEnd w:id="375"/>
      <w:bookmarkEnd w:id="376"/>
    </w:p>
    <w:p>
      <w:pPr>
        <w:pStyle w:val="8"/>
        <w:ind w:firstLine="600" w:firstLineChars="200"/>
        <w:rPr>
          <w:rFonts w:ascii="Times New Roman" w:hAnsi="Times New Roman" w:eastAsia="仿宋_GB2312"/>
          <w:color w:val="000000"/>
          <w:szCs w:val="30"/>
        </w:rPr>
      </w:pPr>
      <w:r>
        <w:rPr>
          <w:rFonts w:ascii="Times New Roman" w:hAnsi="Times New Roman" w:eastAsia="仿宋_GB2312"/>
          <w:color w:val="000000"/>
          <w:szCs w:val="30"/>
        </w:rPr>
        <w:t>熟悉证券公司内部控制的基本要素</w:t>
      </w:r>
      <w:r>
        <w:rPr>
          <w:rFonts w:hint="eastAsia" w:ascii="Times New Roman" w:hAnsi="Times New Roman" w:eastAsia="仿宋_GB2312"/>
          <w:color w:val="000000"/>
          <w:szCs w:val="30"/>
        </w:rPr>
        <w:t>、</w:t>
      </w:r>
      <w:r>
        <w:rPr>
          <w:rFonts w:ascii="Times New Roman" w:hAnsi="Times New Roman" w:eastAsia="仿宋_GB2312"/>
          <w:color w:val="000000"/>
          <w:szCs w:val="30"/>
        </w:rPr>
        <w:t>基本原则；熟悉证券公司三道业务监控防线的要求；熟悉证券公司授权管理制度</w:t>
      </w:r>
      <w:r>
        <w:rPr>
          <w:rFonts w:hint="eastAsia" w:ascii="Times New Roman" w:hAnsi="Times New Roman" w:eastAsia="仿宋_GB2312"/>
          <w:color w:val="000000"/>
          <w:szCs w:val="30"/>
        </w:rPr>
        <w:t>、</w:t>
      </w:r>
      <w:r>
        <w:rPr>
          <w:rFonts w:ascii="Times New Roman" w:hAnsi="Times New Roman" w:eastAsia="仿宋_GB2312"/>
          <w:color w:val="000000"/>
          <w:szCs w:val="30"/>
        </w:rPr>
        <w:t>重大事项报告制度；熟悉对证券公司合同、印章、密押等的管理要求；了解证券公司变更会计政策的批准程序</w:t>
      </w:r>
      <w:r>
        <w:rPr>
          <w:rFonts w:hint="eastAsia" w:ascii="Times New Roman" w:hAnsi="Times New Roman" w:eastAsia="仿宋_GB2312"/>
          <w:color w:val="000000"/>
          <w:szCs w:val="30"/>
        </w:rPr>
        <w:t>；</w:t>
      </w:r>
      <w:r>
        <w:rPr>
          <w:rFonts w:ascii="Times New Roman" w:hAnsi="Times New Roman" w:eastAsia="仿宋_GB2312"/>
          <w:color w:val="000000"/>
          <w:szCs w:val="30"/>
        </w:rPr>
        <w:t>掌握证券公司内部监督检查部门的主要职责；熟悉证券公司董事会、监事会和经理层人员的内部控制职责。</w:t>
      </w:r>
    </w:p>
    <w:p>
      <w:pPr>
        <w:pStyle w:val="4"/>
        <w:ind w:firstLine="602"/>
        <w:rPr>
          <w:rFonts w:ascii="仿宋_GB2312" w:hAnsi="仿宋_GB2312" w:cs="仿宋_GB2312"/>
        </w:rPr>
      </w:pPr>
      <w:bookmarkStart w:id="377" w:name="_Toc10529"/>
      <w:bookmarkStart w:id="378" w:name="_Toc29932"/>
      <w:bookmarkStart w:id="379" w:name="_Toc21192"/>
      <w:bookmarkStart w:id="380" w:name="_Toc18576"/>
      <w:bookmarkStart w:id="381" w:name="_Toc1850529773"/>
      <w:bookmarkStart w:id="382" w:name="_Toc15147"/>
      <w:bookmarkStart w:id="383" w:name="_Toc42441714"/>
      <w:bookmarkStart w:id="384" w:name="_Toc1426893031"/>
      <w:bookmarkStart w:id="385" w:name="_Toc109809375"/>
      <w:bookmarkStart w:id="386" w:name="_Toc31130"/>
      <w:bookmarkStart w:id="387" w:name="_Toc10360"/>
      <w:bookmarkStart w:id="388" w:name="_Toc3986"/>
      <w:bookmarkStart w:id="389" w:name="_Toc5378"/>
      <w:r>
        <w:rPr>
          <w:rFonts w:hint="eastAsia" w:ascii="仿宋_GB2312" w:hAnsi="仿宋_GB2312" w:cs="仿宋_GB2312"/>
        </w:rPr>
        <w:t>4</w:t>
      </w:r>
      <w:r>
        <w:t>．</w:t>
      </w:r>
      <w:r>
        <w:rPr>
          <w:rFonts w:hint="eastAsia" w:ascii="仿宋_GB2312" w:hAnsi="仿宋_GB2312" w:cs="仿宋_GB2312"/>
        </w:rPr>
        <w:t>《关于加强上市证券公司监管的规定》（2009年4月3日公布，2024年5月10日最新修订并施行）</w:t>
      </w:r>
      <w:bookmarkEnd w:id="377"/>
      <w:bookmarkEnd w:id="378"/>
      <w:bookmarkEnd w:id="379"/>
      <w:bookmarkEnd w:id="380"/>
      <w:bookmarkEnd w:id="381"/>
      <w:bookmarkEnd w:id="382"/>
      <w:bookmarkEnd w:id="383"/>
      <w:bookmarkEnd w:id="384"/>
      <w:bookmarkEnd w:id="385"/>
      <w:bookmarkEnd w:id="386"/>
      <w:bookmarkEnd w:id="387"/>
      <w:bookmarkEnd w:id="388"/>
      <w:bookmarkEnd w:id="389"/>
    </w:p>
    <w:p>
      <w:pPr>
        <w:pStyle w:val="8"/>
        <w:ind w:firstLine="600" w:firstLineChars="200"/>
        <w:rPr>
          <w:rFonts w:ascii="仿宋_GB2312" w:hAnsi="Times New Roman" w:eastAsia="仿宋_GB2312"/>
          <w:color w:val="000000"/>
          <w:szCs w:val="30"/>
        </w:rPr>
      </w:pPr>
      <w:r>
        <w:rPr>
          <w:rFonts w:hint="eastAsia" w:ascii="仿宋_GB2312" w:hAnsi="Times New Roman" w:eastAsia="仿宋_GB2312"/>
          <w:color w:val="000000"/>
          <w:szCs w:val="30"/>
        </w:rPr>
        <w:t>熟悉证券公司首次公开发行证券并上市交易和上市后再融资行为的相关要求；熟悉上市证券公司信息披露的相关要求；掌握要求证券公司健全公司治理、强化内部管控和风险管理、完善人员管理及激励的相关要求；熟悉建立健全投资者保护、股东回报机制及对股东、实际控制人、关联方行为的相关规范；掌握关于上市证券公司建立健全信息管理制度的规定。</w:t>
      </w:r>
    </w:p>
    <w:p>
      <w:pPr>
        <w:pStyle w:val="4"/>
        <w:ind w:firstLine="602"/>
        <w:rPr>
          <w:rFonts w:ascii="仿宋_GB2312" w:hAnsi="仿宋_GB2312" w:cs="仿宋_GB2312"/>
        </w:rPr>
      </w:pPr>
      <w:bookmarkStart w:id="390" w:name="_Toc20465"/>
      <w:bookmarkStart w:id="391" w:name="_Toc21179"/>
      <w:bookmarkStart w:id="392" w:name="_Toc24869"/>
      <w:bookmarkStart w:id="393" w:name="_Toc19984"/>
      <w:bookmarkStart w:id="394" w:name="_Toc2062550576"/>
      <w:bookmarkStart w:id="395" w:name="_Toc20845"/>
      <w:bookmarkStart w:id="396" w:name="_Toc2909"/>
      <w:bookmarkStart w:id="397" w:name="_Toc7105"/>
      <w:bookmarkStart w:id="398" w:name="_Toc11122"/>
      <w:bookmarkStart w:id="399" w:name="_Toc108693513"/>
      <w:bookmarkStart w:id="400" w:name="_Toc1940784447"/>
      <w:bookmarkStart w:id="401" w:name="_Toc17291"/>
      <w:bookmarkStart w:id="402" w:name="_Toc109809376"/>
      <w:r>
        <w:rPr>
          <w:rFonts w:hint="eastAsia" w:ascii="仿宋_GB2312" w:hAnsi="仿宋_GB2312" w:cs="仿宋_GB2312"/>
        </w:rPr>
        <w:t>5</w:t>
      </w:r>
      <w:r>
        <w:t>．</w:t>
      </w:r>
      <w:r>
        <w:rPr>
          <w:rFonts w:hint="eastAsia" w:ascii="仿宋_GB2312" w:hAnsi="仿宋_GB2312" w:cs="仿宋_GB2312"/>
        </w:rPr>
        <w:t>《证券公司年度报告内容与格式准则》（2013年11月20日公布，2014年1月1日起施行）</w:t>
      </w:r>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8"/>
        <w:ind w:firstLine="600" w:firstLineChars="200"/>
        <w:rPr>
          <w:rFonts w:ascii="Times New Roman" w:hAnsi="Times New Roman" w:eastAsia="仿宋_GB2312"/>
          <w:color w:val="000000"/>
          <w:szCs w:val="30"/>
        </w:rPr>
      </w:pPr>
      <w:r>
        <w:rPr>
          <w:rFonts w:ascii="Times New Roman" w:hAnsi="Times New Roman" w:eastAsia="仿宋_GB2312"/>
          <w:color w:val="000000"/>
          <w:szCs w:val="30"/>
        </w:rPr>
        <w:t>掌握证券公司年度报告的审计要求及报送时间要求；掌握证券公司年度报告公开披露信息的规定；熟悉证券公司董事会及董事对编制证券公司年度报告的相关责任。</w:t>
      </w:r>
    </w:p>
    <w:p>
      <w:pPr>
        <w:pStyle w:val="4"/>
        <w:ind w:firstLine="602"/>
        <w:rPr>
          <w:rFonts w:ascii="仿宋_GB2312" w:hAnsi="仿宋_GB2312" w:cs="仿宋_GB2312"/>
        </w:rPr>
      </w:pPr>
      <w:bookmarkStart w:id="403" w:name="_Toc5528"/>
      <w:bookmarkStart w:id="404" w:name="_Toc1146910172"/>
      <w:bookmarkStart w:id="405" w:name="_Toc8935"/>
      <w:bookmarkStart w:id="406" w:name="_Toc1785207532"/>
      <w:bookmarkStart w:id="407" w:name="_Toc438544691"/>
      <w:bookmarkStart w:id="408" w:name="_Toc32119"/>
      <w:bookmarkStart w:id="409" w:name="_Toc23634"/>
      <w:bookmarkStart w:id="410" w:name="_Toc28360"/>
      <w:bookmarkStart w:id="411" w:name="_Toc31401"/>
      <w:bookmarkStart w:id="412" w:name="_Toc10104"/>
      <w:bookmarkStart w:id="413" w:name="_Toc23492"/>
      <w:bookmarkStart w:id="414" w:name="_Toc28333"/>
      <w:bookmarkStart w:id="415" w:name="_Toc109809377"/>
      <w:r>
        <w:rPr>
          <w:rFonts w:hint="eastAsia" w:ascii="仿宋_GB2312" w:hAnsi="仿宋_GB2312" w:cs="仿宋_GB2312"/>
        </w:rPr>
        <w:t xml:space="preserve">6. </w:t>
      </w:r>
      <w:r>
        <w:rPr>
          <w:rFonts w:ascii="仿宋_GB2312" w:hAnsi="仿宋_GB2312" w:cs="仿宋_GB2312"/>
        </w:rPr>
        <w:t>《证券公司内部审计指引》（2023年8月7日发布，2024年1月1日起</w:t>
      </w:r>
      <w:r>
        <w:rPr>
          <w:rFonts w:hint="eastAsia" w:ascii="仿宋_GB2312" w:hAnsi="仿宋_GB2312" w:cs="仿宋_GB2312"/>
        </w:rPr>
        <w:t>施行</w:t>
      </w:r>
      <w:r>
        <w:rPr>
          <w:rFonts w:ascii="仿宋_GB2312" w:hAnsi="仿宋_GB2312" w:cs="仿宋_GB2312"/>
        </w:rPr>
        <w:t>）</w:t>
      </w:r>
      <w:bookmarkEnd w:id="403"/>
      <w:bookmarkEnd w:id="404"/>
      <w:bookmarkEnd w:id="405"/>
      <w:bookmarkEnd w:id="406"/>
      <w:bookmarkEnd w:id="407"/>
      <w:bookmarkEnd w:id="408"/>
    </w:p>
    <w:p>
      <w:pPr>
        <w:pStyle w:val="8"/>
        <w:ind w:firstLine="600" w:firstLineChars="200"/>
        <w:rPr>
          <w:rFonts w:ascii="Times New Roman" w:hAnsi="Times New Roman" w:eastAsia="仿宋_GB2312"/>
          <w:color w:val="000000"/>
          <w:szCs w:val="30"/>
        </w:rPr>
      </w:pPr>
      <w:r>
        <w:rPr>
          <w:rFonts w:hint="eastAsia" w:ascii="Times New Roman" w:hAnsi="Times New Roman" w:eastAsia="仿宋_GB2312"/>
          <w:color w:val="000000"/>
          <w:szCs w:val="30"/>
        </w:rPr>
        <w:t>了解证券公司内部审计的定义及总体要求；熟悉证券公司内部审计组织架构、职责权限相关规定；了解证券公司内部审计工作程序、内部审计结果运用的相关要求。</w:t>
      </w:r>
    </w:p>
    <w:p>
      <w:pPr>
        <w:pStyle w:val="3"/>
        <w:ind w:firstLine="602"/>
        <w:rPr>
          <w:rFonts w:hint="default"/>
        </w:rPr>
      </w:pPr>
      <w:bookmarkStart w:id="416" w:name="_Toc412386477"/>
      <w:bookmarkStart w:id="417" w:name="_Toc1238048946"/>
      <w:bookmarkStart w:id="418" w:name="_Toc146440473"/>
      <w:bookmarkStart w:id="419" w:name="_Toc16940"/>
      <w:bookmarkStart w:id="420" w:name="_Toc11536"/>
      <w:bookmarkStart w:id="421" w:name="_Toc20463"/>
      <w:r>
        <w:t>（三）合规管理与风险管理</w:t>
      </w:r>
      <w:bookmarkEnd w:id="409"/>
      <w:bookmarkEnd w:id="410"/>
      <w:bookmarkEnd w:id="411"/>
      <w:bookmarkEnd w:id="412"/>
      <w:bookmarkEnd w:id="413"/>
      <w:bookmarkEnd w:id="414"/>
      <w:bookmarkEnd w:id="415"/>
      <w:bookmarkEnd w:id="416"/>
      <w:bookmarkEnd w:id="417"/>
      <w:bookmarkEnd w:id="418"/>
      <w:bookmarkEnd w:id="419"/>
      <w:bookmarkEnd w:id="420"/>
      <w:bookmarkEnd w:id="421"/>
    </w:p>
    <w:p>
      <w:pPr>
        <w:pStyle w:val="4"/>
        <w:ind w:firstLine="602"/>
        <w:rPr>
          <w:rFonts w:ascii="仿宋_GB2312" w:hAnsi="仿宋_GB2312" w:cs="仿宋_GB2312"/>
        </w:rPr>
      </w:pPr>
      <w:bookmarkStart w:id="422" w:name="_Toc31345"/>
      <w:bookmarkStart w:id="423" w:name="_Toc16444"/>
      <w:bookmarkStart w:id="424" w:name="_Toc29090"/>
      <w:bookmarkStart w:id="425" w:name="_Toc4571"/>
      <w:bookmarkStart w:id="426" w:name="_Toc1545324305"/>
      <w:bookmarkStart w:id="427" w:name="_Toc31062"/>
      <w:bookmarkStart w:id="428" w:name="_Toc16745"/>
      <w:bookmarkStart w:id="429" w:name="_Toc5908"/>
      <w:bookmarkStart w:id="430" w:name="_Toc109809378"/>
      <w:bookmarkStart w:id="431" w:name="_Toc464135423"/>
      <w:bookmarkStart w:id="432" w:name="_Toc25892"/>
      <w:bookmarkStart w:id="433" w:name="_Toc978"/>
      <w:bookmarkStart w:id="434" w:name="_Toc1218292059"/>
      <w:r>
        <w:rPr>
          <w:rFonts w:hint="eastAsia" w:ascii="仿宋_GB2312" w:hAnsi="仿宋_GB2312" w:cs="仿宋_GB2312"/>
        </w:rPr>
        <w:t>1</w:t>
      </w:r>
      <w:r>
        <w:t>．</w:t>
      </w:r>
      <w:r>
        <w:rPr>
          <w:rFonts w:hint="eastAsia" w:ascii="仿宋_GB2312" w:hAnsi="仿宋_GB2312" w:cs="仿宋_GB2312"/>
        </w:rPr>
        <w:t>《证券公司和证券投资基金管理公司合规管理办法》（2017年6月6日公布，2020年3月20日最新修</w:t>
      </w:r>
      <w:r>
        <w:rPr>
          <w:rFonts w:hint="eastAsia" w:ascii="仿宋_GB2312" w:hAnsi="仿宋_GB2312" w:cs="仿宋_GB2312"/>
          <w:lang w:eastAsia="zh-CN"/>
        </w:rPr>
        <w:t>订</w:t>
      </w:r>
      <w:r>
        <w:rPr>
          <w:rFonts w:hint="eastAsia" w:ascii="仿宋_GB2312" w:hAnsi="仿宋_GB2312" w:cs="仿宋_GB2312"/>
        </w:rPr>
        <w:t>并施行）及《证券公司合规管理实施指引》（2017年9月8日发布，2017年10月1日起施行）</w:t>
      </w:r>
      <w:bookmarkEnd w:id="422"/>
      <w:bookmarkEnd w:id="423"/>
      <w:bookmarkEnd w:id="424"/>
      <w:bookmarkEnd w:id="425"/>
      <w:bookmarkEnd w:id="426"/>
      <w:bookmarkEnd w:id="427"/>
      <w:bookmarkEnd w:id="428"/>
      <w:bookmarkEnd w:id="429"/>
      <w:bookmarkEnd w:id="430"/>
      <w:bookmarkEnd w:id="431"/>
      <w:bookmarkEnd w:id="432"/>
      <w:bookmarkEnd w:id="433"/>
      <w:bookmarkEnd w:id="434"/>
    </w:p>
    <w:p>
      <w:pPr>
        <w:ind w:firstLine="600" w:firstLineChars="200"/>
        <w:rPr>
          <w:rFonts w:ascii="Times New Roman" w:hAnsi="Times New Roman" w:eastAsia="仿宋_GB2312"/>
          <w:bCs/>
          <w:color w:val="000000"/>
          <w:sz w:val="30"/>
          <w:szCs w:val="30"/>
        </w:rPr>
      </w:pPr>
      <w:r>
        <w:rPr>
          <w:rFonts w:ascii="Times New Roman" w:eastAsia="仿宋_GB2312"/>
          <w:color w:val="000000"/>
          <w:sz w:val="30"/>
          <w:szCs w:val="30"/>
        </w:rPr>
        <w:t>熟悉</w:t>
      </w:r>
      <w:r>
        <w:rPr>
          <w:rFonts w:hint="eastAsia" w:ascii="Times New Roman" w:eastAsia="仿宋_GB2312"/>
          <w:color w:val="000000"/>
          <w:sz w:val="30"/>
          <w:szCs w:val="30"/>
        </w:rPr>
        <w:t>证券公司</w:t>
      </w:r>
      <w:r>
        <w:rPr>
          <w:rFonts w:ascii="Times New Roman" w:eastAsia="仿宋_GB2312"/>
          <w:color w:val="000000"/>
          <w:sz w:val="30"/>
          <w:szCs w:val="30"/>
        </w:rPr>
        <w:t>合规、合规管理及合规风险的概念；</w:t>
      </w:r>
      <w:r>
        <w:rPr>
          <w:rFonts w:hint="eastAsia" w:ascii="Times New Roman" w:eastAsia="仿宋_GB2312"/>
          <w:color w:val="000000"/>
          <w:sz w:val="30"/>
          <w:szCs w:val="30"/>
        </w:rPr>
        <w:t>掌握证券公司合规经营基本原则与应遵守的基本要求；熟悉证券公司董事会、监事会或监事、高级管理人员应当履行的合规管理职责；</w:t>
      </w:r>
      <w:r>
        <w:rPr>
          <w:rFonts w:ascii="Times New Roman" w:eastAsia="仿宋_GB2312"/>
          <w:color w:val="000000"/>
          <w:sz w:val="30"/>
          <w:szCs w:val="30"/>
        </w:rPr>
        <w:t>熟悉</w:t>
      </w:r>
      <w:r>
        <w:rPr>
          <w:rFonts w:hint="eastAsia" w:ascii="Times New Roman" w:eastAsia="仿宋_GB2312"/>
          <w:color w:val="000000"/>
          <w:sz w:val="30"/>
          <w:szCs w:val="30"/>
        </w:rPr>
        <w:t>证券公司</w:t>
      </w:r>
      <w:r>
        <w:rPr>
          <w:rFonts w:ascii="Times New Roman" w:eastAsia="仿宋_GB2312"/>
          <w:color w:val="000000"/>
          <w:sz w:val="30"/>
          <w:szCs w:val="30"/>
        </w:rPr>
        <w:t>合规管理基本制度的有关内容；</w:t>
      </w:r>
      <w:r>
        <w:rPr>
          <w:rFonts w:hint="eastAsia" w:ascii="Times New Roman" w:eastAsia="仿宋_GB2312"/>
          <w:color w:val="000000"/>
          <w:sz w:val="30"/>
          <w:szCs w:val="30"/>
        </w:rPr>
        <w:t>掌握证券公司合规负责人进行合规审查、合规检查、合规考核的规定</w:t>
      </w:r>
      <w:r>
        <w:rPr>
          <w:rFonts w:ascii="Times New Roman" w:eastAsia="仿宋_GB2312"/>
          <w:color w:val="000000"/>
          <w:sz w:val="30"/>
          <w:szCs w:val="30"/>
        </w:rPr>
        <w:t>；掌握合规</w:t>
      </w:r>
      <w:r>
        <w:rPr>
          <w:rFonts w:hint="eastAsia" w:ascii="Times New Roman" w:eastAsia="仿宋_GB2312"/>
          <w:color w:val="000000"/>
          <w:sz w:val="30"/>
          <w:szCs w:val="30"/>
        </w:rPr>
        <w:t>负责人</w:t>
      </w:r>
      <w:r>
        <w:rPr>
          <w:rFonts w:ascii="Times New Roman" w:eastAsia="仿宋_GB2312"/>
          <w:color w:val="000000"/>
          <w:sz w:val="30"/>
          <w:szCs w:val="30"/>
        </w:rPr>
        <w:t>对公司违法违规行为或合规风险隐患的处理规定；</w:t>
      </w:r>
      <w:r>
        <w:rPr>
          <w:rFonts w:hint="eastAsia" w:ascii="Times New Roman" w:eastAsia="仿宋_GB2312"/>
          <w:color w:val="000000"/>
          <w:sz w:val="30"/>
          <w:szCs w:val="30"/>
        </w:rPr>
        <w:t>了解证券公司合规负责人的任职条件；</w:t>
      </w:r>
      <w:r>
        <w:rPr>
          <w:rFonts w:ascii="Times New Roman" w:eastAsia="仿宋_GB2312"/>
          <w:color w:val="000000"/>
          <w:sz w:val="30"/>
          <w:szCs w:val="30"/>
        </w:rPr>
        <w:t>熟悉</w:t>
      </w:r>
      <w:r>
        <w:rPr>
          <w:rFonts w:hint="eastAsia" w:ascii="Times New Roman" w:eastAsia="仿宋_GB2312"/>
          <w:color w:val="000000"/>
          <w:sz w:val="30"/>
          <w:szCs w:val="30"/>
        </w:rPr>
        <w:t>证券公司</w:t>
      </w:r>
      <w:r>
        <w:rPr>
          <w:rFonts w:ascii="Times New Roman" w:eastAsia="仿宋_GB2312"/>
          <w:color w:val="000000"/>
          <w:sz w:val="30"/>
          <w:szCs w:val="30"/>
        </w:rPr>
        <w:t>聘任和解聘合规</w:t>
      </w:r>
      <w:r>
        <w:rPr>
          <w:rFonts w:hint="eastAsia" w:ascii="Times New Roman" w:eastAsia="仿宋_GB2312"/>
          <w:color w:val="000000"/>
          <w:sz w:val="30"/>
          <w:szCs w:val="30"/>
        </w:rPr>
        <w:t>负责人</w:t>
      </w:r>
      <w:r>
        <w:rPr>
          <w:rFonts w:ascii="Times New Roman" w:eastAsia="仿宋_GB2312"/>
          <w:color w:val="000000"/>
          <w:sz w:val="30"/>
          <w:szCs w:val="30"/>
        </w:rPr>
        <w:t>的相关要求；熟悉</w:t>
      </w:r>
      <w:r>
        <w:rPr>
          <w:rFonts w:hint="eastAsia" w:ascii="Times New Roman" w:eastAsia="仿宋_GB2312"/>
          <w:color w:val="000000"/>
          <w:sz w:val="30"/>
          <w:szCs w:val="30"/>
        </w:rPr>
        <w:t>证券公司</w:t>
      </w:r>
      <w:r>
        <w:rPr>
          <w:rFonts w:ascii="Times New Roman" w:eastAsia="仿宋_GB2312"/>
          <w:color w:val="000000"/>
          <w:sz w:val="30"/>
          <w:szCs w:val="30"/>
        </w:rPr>
        <w:t>合规</w:t>
      </w:r>
      <w:r>
        <w:rPr>
          <w:rFonts w:hint="eastAsia" w:ascii="Times New Roman" w:eastAsia="仿宋_GB2312"/>
          <w:color w:val="000000"/>
          <w:sz w:val="30"/>
          <w:szCs w:val="30"/>
        </w:rPr>
        <w:t>负责人</w:t>
      </w:r>
      <w:r>
        <w:rPr>
          <w:rFonts w:ascii="Times New Roman" w:eastAsia="仿宋_GB2312"/>
          <w:color w:val="000000"/>
          <w:sz w:val="30"/>
          <w:szCs w:val="30"/>
        </w:rPr>
        <w:t>不能履行职责或缺位时的规定；熟悉</w:t>
      </w:r>
      <w:r>
        <w:rPr>
          <w:rFonts w:hint="eastAsia" w:ascii="Times New Roman" w:eastAsia="仿宋_GB2312"/>
          <w:color w:val="000000"/>
          <w:sz w:val="30"/>
          <w:szCs w:val="30"/>
        </w:rPr>
        <w:t>证券公司</w:t>
      </w:r>
      <w:r>
        <w:rPr>
          <w:rFonts w:ascii="Times New Roman" w:eastAsia="仿宋_GB2312"/>
          <w:color w:val="000000"/>
          <w:sz w:val="30"/>
          <w:szCs w:val="30"/>
        </w:rPr>
        <w:t>合规部门</w:t>
      </w:r>
      <w:r>
        <w:rPr>
          <w:rFonts w:hint="eastAsia" w:ascii="Times New Roman" w:eastAsia="仿宋_GB2312"/>
          <w:color w:val="000000"/>
          <w:sz w:val="30"/>
          <w:szCs w:val="30"/>
        </w:rPr>
        <w:t>、合规管理人员</w:t>
      </w:r>
      <w:r>
        <w:rPr>
          <w:rFonts w:ascii="Times New Roman" w:eastAsia="仿宋_GB2312"/>
          <w:color w:val="000000"/>
          <w:sz w:val="30"/>
          <w:szCs w:val="30"/>
        </w:rPr>
        <w:t>的相关规定；</w:t>
      </w:r>
      <w:r>
        <w:rPr>
          <w:rFonts w:hint="eastAsia" w:ascii="Times New Roman" w:eastAsia="仿宋_GB2312"/>
          <w:color w:val="000000"/>
          <w:sz w:val="30"/>
          <w:szCs w:val="30"/>
        </w:rPr>
        <w:t>熟悉证券公司应当将子公司合规管理纳入统一体系的规定；</w:t>
      </w:r>
      <w:r>
        <w:rPr>
          <w:rFonts w:ascii="Times New Roman" w:eastAsia="仿宋_GB2312"/>
          <w:color w:val="000000"/>
          <w:sz w:val="30"/>
          <w:szCs w:val="30"/>
        </w:rPr>
        <w:t>熟悉</w:t>
      </w:r>
      <w:r>
        <w:rPr>
          <w:rFonts w:hint="eastAsia" w:ascii="Times New Roman" w:eastAsia="仿宋_GB2312"/>
          <w:color w:val="000000"/>
          <w:sz w:val="30"/>
          <w:szCs w:val="30"/>
        </w:rPr>
        <w:t>证券公司</w:t>
      </w:r>
      <w:r>
        <w:rPr>
          <w:rFonts w:ascii="Times New Roman" w:eastAsia="仿宋_GB2312"/>
          <w:color w:val="000000"/>
          <w:sz w:val="30"/>
          <w:szCs w:val="30"/>
        </w:rPr>
        <w:t>合规</w:t>
      </w:r>
      <w:r>
        <w:rPr>
          <w:rFonts w:hint="eastAsia" w:ascii="Times New Roman" w:eastAsia="仿宋_GB2312"/>
          <w:color w:val="000000"/>
          <w:sz w:val="30"/>
          <w:szCs w:val="30"/>
        </w:rPr>
        <w:t>负责人</w:t>
      </w:r>
      <w:r>
        <w:rPr>
          <w:rFonts w:ascii="Times New Roman" w:eastAsia="仿宋_GB2312"/>
          <w:color w:val="000000"/>
          <w:sz w:val="30"/>
          <w:szCs w:val="30"/>
        </w:rPr>
        <w:t>的独立性原则；</w:t>
      </w:r>
      <w:r>
        <w:rPr>
          <w:rFonts w:hint="eastAsia" w:ascii="Times New Roman" w:eastAsia="仿宋_GB2312"/>
          <w:color w:val="000000"/>
          <w:sz w:val="30"/>
          <w:szCs w:val="30"/>
        </w:rPr>
        <w:t>熟悉证券公司合规管理的有效性评估要求；</w:t>
      </w:r>
      <w:r>
        <w:rPr>
          <w:rFonts w:hint="eastAsia" w:ascii="Times New Roman" w:hAnsi="Times New Roman" w:eastAsia="仿宋_GB2312"/>
          <w:bCs/>
          <w:color w:val="000000"/>
          <w:sz w:val="30"/>
          <w:szCs w:val="30"/>
        </w:rPr>
        <w:t>掌握证券公司应当树立并坚守的合规理念；熟悉开展合规检查、合规咨询、合规培训，运用信息技术手段监测的相关要求；了解合规总监、合规部门履职保障机制；了解证券公司合规总监有权出席或列席会议的规定。</w:t>
      </w:r>
    </w:p>
    <w:p>
      <w:pPr>
        <w:pStyle w:val="4"/>
        <w:ind w:firstLine="602"/>
        <w:rPr>
          <w:rFonts w:ascii="仿宋_GB2312" w:hAnsi="仿宋_GB2312" w:cs="仿宋_GB2312"/>
        </w:rPr>
      </w:pPr>
      <w:bookmarkStart w:id="435" w:name="_Toc395381919"/>
      <w:bookmarkStart w:id="436" w:name="_Toc28176"/>
      <w:bookmarkStart w:id="437" w:name="_Toc1072156323"/>
      <w:bookmarkStart w:id="438" w:name="_Toc27916"/>
      <w:bookmarkStart w:id="439" w:name="_Toc18821"/>
      <w:bookmarkStart w:id="440" w:name="_Toc6878"/>
      <w:bookmarkStart w:id="441" w:name="_Toc16027"/>
      <w:bookmarkStart w:id="442" w:name="_Toc1358760623"/>
      <w:bookmarkStart w:id="443" w:name="_Toc109809379"/>
      <w:bookmarkStart w:id="444" w:name="_Toc27146"/>
      <w:bookmarkStart w:id="445" w:name="_Toc7653"/>
      <w:bookmarkStart w:id="446" w:name="_Toc16759"/>
      <w:bookmarkStart w:id="447" w:name="_Toc10238"/>
      <w:r>
        <w:rPr>
          <w:rFonts w:hint="eastAsia" w:ascii="仿宋_GB2312" w:hAnsi="仿宋_GB2312" w:cs="仿宋_GB2312"/>
        </w:rPr>
        <w:t>2</w:t>
      </w:r>
      <w:r>
        <w:t>．</w:t>
      </w:r>
      <w:r>
        <w:rPr>
          <w:rFonts w:hint="eastAsia" w:ascii="仿宋_GB2312" w:hAnsi="仿宋_GB2312" w:cs="仿宋_GB2312"/>
        </w:rPr>
        <w:t>《证券公司分类监管规定》（2009年5月26日公布， 2020年7月10日最新修订并施行）</w:t>
      </w:r>
      <w:bookmarkEnd w:id="435"/>
      <w:bookmarkEnd w:id="436"/>
      <w:bookmarkEnd w:id="437"/>
      <w:bookmarkEnd w:id="438"/>
      <w:bookmarkEnd w:id="439"/>
      <w:bookmarkEnd w:id="440"/>
      <w:bookmarkEnd w:id="441"/>
      <w:bookmarkEnd w:id="442"/>
      <w:bookmarkEnd w:id="443"/>
      <w:bookmarkEnd w:id="444"/>
      <w:bookmarkEnd w:id="445"/>
      <w:bookmarkEnd w:id="446"/>
      <w:bookmarkEnd w:id="447"/>
    </w:p>
    <w:p>
      <w:pPr>
        <w:ind w:firstLine="663" w:firstLineChars="221"/>
        <w:rPr>
          <w:rFonts w:ascii="Times New Roman" w:hAnsi="Times New Roman" w:eastAsia="仿宋_GB2312"/>
          <w:bCs/>
          <w:color w:val="000000"/>
          <w:sz w:val="30"/>
          <w:szCs w:val="30"/>
        </w:rPr>
      </w:pPr>
      <w:r>
        <w:rPr>
          <w:rFonts w:ascii="Times New Roman" w:eastAsia="仿宋_GB2312"/>
          <w:color w:val="000000"/>
          <w:sz w:val="30"/>
          <w:szCs w:val="30"/>
        </w:rPr>
        <w:t>掌握评价证券公司风险管理能力所依据的指标；掌握证券公司持续合规状况的评价依据；掌握证券公司</w:t>
      </w:r>
      <w:r>
        <w:rPr>
          <w:rFonts w:hint="eastAsia" w:ascii="Times New Roman" w:eastAsia="仿宋_GB2312"/>
          <w:color w:val="000000"/>
          <w:sz w:val="30"/>
          <w:szCs w:val="30"/>
        </w:rPr>
        <w:t>业务发展状况</w:t>
      </w:r>
      <w:r>
        <w:rPr>
          <w:rFonts w:ascii="Times New Roman" w:eastAsia="仿宋_GB2312"/>
          <w:color w:val="000000"/>
          <w:sz w:val="30"/>
          <w:szCs w:val="30"/>
        </w:rPr>
        <w:t>的评价依据；</w:t>
      </w:r>
      <w:r>
        <w:rPr>
          <w:rFonts w:hint="eastAsia" w:ascii="Times New Roman" w:eastAsia="仿宋_GB2312"/>
          <w:color w:val="000000"/>
          <w:sz w:val="30"/>
          <w:szCs w:val="30"/>
        </w:rPr>
        <w:t>掌握证券公司因违法违规行为而被相应扣分的规定</w:t>
      </w:r>
      <w:r>
        <w:rPr>
          <w:rFonts w:ascii="Times New Roman" w:eastAsia="仿宋_GB2312"/>
          <w:color w:val="000000"/>
          <w:sz w:val="30"/>
          <w:szCs w:val="30"/>
        </w:rPr>
        <w:t>；了解证券公司因</w:t>
      </w:r>
      <w:r>
        <w:rPr>
          <w:rFonts w:hint="eastAsia" w:ascii="Times New Roman" w:eastAsia="仿宋_GB2312"/>
          <w:color w:val="000000"/>
          <w:sz w:val="30"/>
          <w:szCs w:val="30"/>
        </w:rPr>
        <w:t>业务发展状况</w:t>
      </w:r>
      <w:r>
        <w:rPr>
          <w:rFonts w:ascii="Times New Roman" w:eastAsia="仿宋_GB2312"/>
          <w:color w:val="000000"/>
          <w:sz w:val="30"/>
          <w:szCs w:val="30"/>
        </w:rPr>
        <w:t>符合一定条件而被相应加分的规定；熟悉证券公司申请专业评价机构对其进行专业评价的规定；掌握根据证券公司评价计分高低进行分类的级别；熟悉将证券公司下调等级的情形；熟悉证券公司分类评价的程序；了解证券公司分类结果的使用规定</w:t>
      </w:r>
      <w:r>
        <w:rPr>
          <w:rFonts w:hint="eastAsia" w:ascii="Times New Roman" w:eastAsia="仿宋_GB2312"/>
          <w:color w:val="000000"/>
          <w:sz w:val="30"/>
          <w:szCs w:val="30"/>
        </w:rPr>
        <w:t>；熟悉证券公司主要业务人员的范围</w:t>
      </w:r>
      <w:r>
        <w:rPr>
          <w:rFonts w:ascii="Times New Roman" w:eastAsia="仿宋_GB2312"/>
          <w:color w:val="000000"/>
          <w:sz w:val="30"/>
          <w:szCs w:val="30"/>
        </w:rPr>
        <w:t>。</w:t>
      </w:r>
    </w:p>
    <w:p>
      <w:pPr>
        <w:pStyle w:val="4"/>
        <w:ind w:firstLine="602"/>
        <w:rPr>
          <w:rFonts w:ascii="仿宋_GB2312" w:hAnsi="仿宋_GB2312" w:cs="仿宋_GB2312"/>
        </w:rPr>
      </w:pPr>
      <w:bookmarkStart w:id="448" w:name="_Toc3885"/>
      <w:bookmarkStart w:id="449" w:name="_Toc8271"/>
      <w:bookmarkStart w:id="450" w:name="_Toc593451724"/>
      <w:bookmarkStart w:id="451" w:name="_Toc17882"/>
      <w:bookmarkStart w:id="452" w:name="_Toc5787"/>
      <w:bookmarkStart w:id="453" w:name="_Toc30608"/>
      <w:bookmarkStart w:id="454" w:name="_Toc109809380"/>
      <w:bookmarkStart w:id="455" w:name="_Toc780912835"/>
      <w:bookmarkStart w:id="456" w:name="_Toc6013"/>
      <w:bookmarkStart w:id="457" w:name="_Toc31760"/>
      <w:bookmarkStart w:id="458" w:name="_Toc14161"/>
      <w:bookmarkStart w:id="459" w:name="_Toc2394"/>
      <w:bookmarkStart w:id="460" w:name="_Toc1084360756"/>
      <w:r>
        <w:rPr>
          <w:rFonts w:hint="eastAsia" w:ascii="仿宋_GB2312" w:hAnsi="仿宋_GB2312" w:cs="仿宋_GB2312"/>
        </w:rPr>
        <w:t>3</w:t>
      </w:r>
      <w:r>
        <w:t>．</w:t>
      </w:r>
      <w:r>
        <w:rPr>
          <w:rFonts w:hint="eastAsia" w:ascii="仿宋_GB2312" w:hAnsi="仿宋_GB2312" w:cs="仿宋_GB2312"/>
        </w:rPr>
        <w:t>《证券公司信息隔离墙制度指引》（2010年12月29日发布，2019年11月8日最新修订并施行）及《关于证券公司做好利益冲突管理工作的通知》（2015年3月11日发布并施行）</w:t>
      </w:r>
      <w:bookmarkEnd w:id="448"/>
      <w:bookmarkEnd w:id="449"/>
      <w:bookmarkEnd w:id="450"/>
      <w:bookmarkEnd w:id="451"/>
      <w:bookmarkEnd w:id="452"/>
      <w:bookmarkEnd w:id="453"/>
      <w:bookmarkEnd w:id="454"/>
      <w:bookmarkEnd w:id="455"/>
      <w:bookmarkEnd w:id="456"/>
      <w:bookmarkEnd w:id="457"/>
      <w:bookmarkEnd w:id="458"/>
      <w:bookmarkEnd w:id="459"/>
      <w:bookmarkEnd w:id="460"/>
    </w:p>
    <w:p>
      <w:pPr>
        <w:pStyle w:val="8"/>
        <w:ind w:firstLine="600" w:firstLineChars="200"/>
        <w:rPr>
          <w:rFonts w:ascii="仿宋_GB2312" w:hAnsi="Times New Roman" w:eastAsia="仿宋_GB2312"/>
          <w:color w:val="000000"/>
          <w:kern w:val="0"/>
          <w:szCs w:val="30"/>
        </w:rPr>
      </w:pPr>
      <w:r>
        <w:rPr>
          <w:rFonts w:ascii="Times New Roman" w:eastAsia="仿宋_GB2312"/>
          <w:color w:val="000000"/>
          <w:szCs w:val="30"/>
        </w:rPr>
        <w:t>掌握信息隔离墙制度的定义；掌握</w:t>
      </w:r>
      <w:r>
        <w:rPr>
          <w:rFonts w:ascii="Times New Roman" w:hAnsi="Times New Roman" w:eastAsia="仿宋_GB2312"/>
          <w:color w:val="000000"/>
          <w:kern w:val="0"/>
          <w:szCs w:val="30"/>
        </w:rPr>
        <w:t>董事会、管理层、各部门和分支机构在信息隔离墙制度建立和执行方面的职责；掌握证券公司建立信息隔离墙应当采取的保密措施；熟悉证券公司跨墙管理制度；了解证券公司应将项目公司和与其有重大关联的公司或证券列入限制名单的时点；掌握证券公司不应允许任何人在</w:t>
      </w:r>
      <w:r>
        <w:rPr>
          <w:rFonts w:hint="eastAsia" w:ascii="Times New Roman" w:hAnsi="Times New Roman" w:eastAsia="仿宋_GB2312"/>
          <w:color w:val="000000"/>
          <w:kern w:val="0"/>
          <w:szCs w:val="30"/>
        </w:rPr>
        <w:t>证券研究</w:t>
      </w:r>
      <w:r>
        <w:rPr>
          <w:rFonts w:ascii="Times New Roman" w:hAnsi="Times New Roman" w:eastAsia="仿宋_GB2312"/>
          <w:color w:val="000000"/>
          <w:kern w:val="0"/>
          <w:szCs w:val="30"/>
        </w:rPr>
        <w:t>报告发布前接触报告或对报告内容产生影响的例外情形</w:t>
      </w:r>
      <w:r>
        <w:rPr>
          <w:rFonts w:ascii="仿宋_GB2312" w:hAnsi="Times New Roman" w:eastAsia="仿宋_GB2312"/>
          <w:color w:val="000000"/>
          <w:kern w:val="0"/>
          <w:szCs w:val="30"/>
        </w:rPr>
        <w:t>；熟悉证券公司对相关业务进行限制时应当遵循的原则；</w:t>
      </w:r>
      <w:r>
        <w:rPr>
          <w:rFonts w:hint="eastAsia" w:ascii="仿宋_GB2312" w:hAnsi="Times New Roman" w:eastAsia="仿宋_GB2312"/>
          <w:color w:val="000000"/>
          <w:kern w:val="0"/>
          <w:szCs w:val="30"/>
        </w:rPr>
        <w:t>熟悉高级管理人员存在利益冲突时的职责与业务限制。</w:t>
      </w:r>
    </w:p>
    <w:p>
      <w:pPr>
        <w:pStyle w:val="4"/>
        <w:ind w:firstLine="602"/>
        <w:rPr>
          <w:rFonts w:ascii="仿宋_GB2312" w:hAnsi="仿宋_GB2312" w:cs="仿宋_GB2312"/>
        </w:rPr>
      </w:pPr>
      <w:bookmarkStart w:id="461" w:name="_Toc109809381"/>
      <w:bookmarkStart w:id="462" w:name="_Toc15607"/>
      <w:bookmarkStart w:id="463" w:name="_Toc1143"/>
      <w:bookmarkStart w:id="464" w:name="_Toc9059"/>
      <w:bookmarkStart w:id="465" w:name="_Toc30273"/>
      <w:bookmarkStart w:id="466" w:name="_Toc32672"/>
      <w:bookmarkStart w:id="467" w:name="_Toc23383"/>
      <w:bookmarkStart w:id="468" w:name="_Toc29507"/>
      <w:bookmarkStart w:id="469" w:name="_Toc1053632135"/>
      <w:bookmarkStart w:id="470" w:name="_Toc215"/>
      <w:bookmarkStart w:id="471" w:name="_Toc1631356491"/>
      <w:bookmarkStart w:id="472" w:name="_Toc1865"/>
      <w:bookmarkStart w:id="473" w:name="_Toc467630703"/>
      <w:r>
        <w:rPr>
          <w:rFonts w:hint="eastAsia" w:ascii="仿宋_GB2312" w:hAnsi="仿宋_GB2312" w:cs="仿宋_GB2312"/>
        </w:rPr>
        <w:t>4</w:t>
      </w:r>
      <w:r>
        <w:t>．</w:t>
      </w:r>
      <w:r>
        <w:rPr>
          <w:rFonts w:hint="eastAsia" w:ascii="仿宋_GB2312" w:hAnsi="仿宋_GB2312" w:cs="仿宋_GB2312"/>
        </w:rPr>
        <w:t>《证券公司风险控制指标管理办法》（2006年7月20日公布，2020年3月20日最新修</w:t>
      </w:r>
      <w:r>
        <w:rPr>
          <w:rFonts w:hint="eastAsia" w:ascii="仿宋_GB2312" w:hAnsi="仿宋_GB2312" w:cs="仿宋_GB2312"/>
          <w:lang w:eastAsia="zh-CN"/>
        </w:rPr>
        <w:t>订</w:t>
      </w:r>
      <w:r>
        <w:rPr>
          <w:rFonts w:hint="eastAsia" w:ascii="仿宋_GB2312" w:hAnsi="仿宋_GB2312" w:cs="仿宋_GB2312"/>
        </w:rPr>
        <w:t>并施行）</w:t>
      </w:r>
      <w:bookmarkEnd w:id="461"/>
      <w:bookmarkEnd w:id="462"/>
      <w:bookmarkEnd w:id="463"/>
      <w:bookmarkEnd w:id="464"/>
      <w:bookmarkEnd w:id="465"/>
      <w:bookmarkEnd w:id="466"/>
      <w:bookmarkEnd w:id="467"/>
      <w:bookmarkEnd w:id="468"/>
      <w:bookmarkEnd w:id="469"/>
      <w:bookmarkEnd w:id="470"/>
      <w:bookmarkEnd w:id="471"/>
      <w:bookmarkEnd w:id="472"/>
      <w:bookmarkEnd w:id="473"/>
    </w:p>
    <w:p>
      <w:pPr>
        <w:ind w:firstLine="600" w:firstLineChars="200"/>
        <w:rPr>
          <w:sz w:val="30"/>
          <w:szCs w:val="30"/>
        </w:rPr>
      </w:pPr>
      <w:r>
        <w:rPr>
          <w:rFonts w:ascii="Times New Roman" w:eastAsia="仿宋_GB2312"/>
          <w:color w:val="000000"/>
          <w:sz w:val="30"/>
          <w:szCs w:val="30"/>
        </w:rPr>
        <w:t>掌握证券公司应计算</w:t>
      </w:r>
      <w:r>
        <w:rPr>
          <w:rFonts w:hint="eastAsia" w:ascii="仿宋_GB2312" w:eastAsia="仿宋_GB2312"/>
          <w:color w:val="000000"/>
          <w:sz w:val="30"/>
          <w:szCs w:val="30"/>
        </w:rPr>
        <w:t>各项风险控制指标</w:t>
      </w:r>
      <w:r>
        <w:rPr>
          <w:rFonts w:ascii="Times New Roman" w:eastAsia="仿宋_GB2312"/>
          <w:color w:val="000000"/>
          <w:sz w:val="30"/>
          <w:szCs w:val="30"/>
        </w:rPr>
        <w:t>，编制</w:t>
      </w:r>
      <w:r>
        <w:rPr>
          <w:rFonts w:hint="eastAsia" w:ascii="Times New Roman" w:eastAsia="仿宋_GB2312"/>
          <w:color w:val="000000"/>
          <w:sz w:val="30"/>
          <w:szCs w:val="30"/>
        </w:rPr>
        <w:t>各项</w:t>
      </w:r>
      <w:r>
        <w:rPr>
          <w:rFonts w:hint="eastAsia" w:ascii="仿宋_GB2312" w:eastAsia="仿宋_GB2312"/>
          <w:color w:val="000000"/>
          <w:sz w:val="30"/>
          <w:szCs w:val="30"/>
        </w:rPr>
        <w:t>风险控制指标监管报表</w:t>
      </w:r>
      <w:r>
        <w:rPr>
          <w:rFonts w:ascii="Times New Roman" w:eastAsia="仿宋_GB2312"/>
          <w:color w:val="000000"/>
          <w:sz w:val="30"/>
          <w:szCs w:val="30"/>
        </w:rPr>
        <w:t>并进行审计的规定；</w:t>
      </w:r>
      <w:r>
        <w:rPr>
          <w:rFonts w:hint="eastAsia" w:ascii="仿宋_GB2312" w:eastAsia="仿宋_GB2312"/>
          <w:color w:val="000000"/>
          <w:sz w:val="30"/>
          <w:szCs w:val="30"/>
        </w:rPr>
        <w:t>掌握建立全面风险管理体系和设立首席风险官的规定</w:t>
      </w:r>
      <w:r>
        <w:rPr>
          <w:rFonts w:hint="eastAsia" w:ascii="仿宋_GB2312" w:eastAsia="仿宋_GB2312"/>
          <w:sz w:val="30"/>
          <w:szCs w:val="30"/>
        </w:rPr>
        <w:t>；</w:t>
      </w:r>
      <w:r>
        <w:rPr>
          <w:rFonts w:ascii="Times New Roman" w:eastAsia="仿宋_GB2312"/>
          <w:color w:val="000000"/>
          <w:sz w:val="30"/>
          <w:szCs w:val="30"/>
        </w:rPr>
        <w:t>掌握净资本的</w:t>
      </w:r>
      <w:r>
        <w:rPr>
          <w:rFonts w:hint="eastAsia" w:ascii="Times New Roman" w:eastAsia="仿宋_GB2312"/>
          <w:color w:val="000000"/>
          <w:sz w:val="30"/>
          <w:szCs w:val="30"/>
        </w:rPr>
        <w:t>构成</w:t>
      </w:r>
      <w:r>
        <w:rPr>
          <w:rFonts w:ascii="Times New Roman" w:eastAsia="仿宋_GB2312"/>
          <w:color w:val="000000"/>
          <w:sz w:val="30"/>
          <w:szCs w:val="30"/>
        </w:rPr>
        <w:t>和计算</w:t>
      </w:r>
      <w:r>
        <w:rPr>
          <w:rFonts w:hint="eastAsia" w:ascii="Times New Roman" w:eastAsia="仿宋_GB2312"/>
          <w:color w:val="000000"/>
          <w:sz w:val="30"/>
          <w:szCs w:val="30"/>
        </w:rPr>
        <w:t>方法</w:t>
      </w:r>
      <w:r>
        <w:rPr>
          <w:rFonts w:ascii="Times New Roman" w:eastAsia="仿宋_GB2312"/>
          <w:color w:val="000000"/>
          <w:sz w:val="30"/>
          <w:szCs w:val="30"/>
        </w:rPr>
        <w:t>；掌握关于证券公司从事一项或多项证券业务的净资本标准的规定；掌握必须持续符合</w:t>
      </w:r>
      <w:r>
        <w:rPr>
          <w:rFonts w:hint="eastAsia" w:ascii="Times New Roman" w:eastAsia="仿宋_GB2312"/>
          <w:color w:val="000000"/>
          <w:sz w:val="30"/>
          <w:szCs w:val="30"/>
        </w:rPr>
        <w:t>的</w:t>
      </w:r>
      <w:r>
        <w:rPr>
          <w:rFonts w:ascii="Times New Roman" w:eastAsia="仿宋_GB2312"/>
          <w:color w:val="000000"/>
          <w:sz w:val="30"/>
          <w:szCs w:val="30"/>
        </w:rPr>
        <w:t>风险控制指标标准；掌握中国证监会对风险控制指标设置的预警标准；熟悉关于证券公司应报告风险控制指标的规定；</w:t>
      </w:r>
      <w:r>
        <w:rPr>
          <w:rFonts w:hint="eastAsia" w:ascii="仿宋_GB2312" w:eastAsia="仿宋_GB2312"/>
          <w:color w:val="000000"/>
          <w:sz w:val="30"/>
          <w:szCs w:val="30"/>
        </w:rPr>
        <w:t>掌握证券公司未按要求报送风险控制指标监管报表，或者报表存在重大错报、漏报以及虚假报送的监管措施</w:t>
      </w:r>
      <w:r>
        <w:rPr>
          <w:rFonts w:ascii="Times New Roman" w:eastAsia="仿宋_GB2312"/>
          <w:color w:val="000000"/>
          <w:sz w:val="30"/>
          <w:szCs w:val="30"/>
        </w:rPr>
        <w:t>。</w:t>
      </w:r>
    </w:p>
    <w:p>
      <w:pPr>
        <w:pStyle w:val="4"/>
        <w:ind w:firstLine="602"/>
        <w:rPr>
          <w:rFonts w:ascii="仿宋_GB2312" w:hAnsi="仿宋_GB2312" w:cs="仿宋_GB2312"/>
        </w:rPr>
      </w:pPr>
      <w:bookmarkStart w:id="474" w:name="_Toc806851852"/>
      <w:bookmarkStart w:id="475" w:name="_Toc8411"/>
      <w:bookmarkStart w:id="476" w:name="_Toc15746"/>
      <w:bookmarkStart w:id="477" w:name="_Toc23038"/>
      <w:bookmarkStart w:id="478" w:name="_Toc473126591"/>
      <w:bookmarkStart w:id="479" w:name="_Toc1480421725"/>
      <w:bookmarkStart w:id="480" w:name="_Toc28844"/>
      <w:bookmarkStart w:id="481" w:name="_Toc1920"/>
      <w:bookmarkStart w:id="482" w:name="_Toc13269"/>
      <w:bookmarkStart w:id="483" w:name="_Toc26853"/>
      <w:bookmarkStart w:id="484" w:name="_Toc8343"/>
      <w:bookmarkStart w:id="485" w:name="_Toc109809382"/>
      <w:bookmarkStart w:id="486" w:name="_Toc8893"/>
      <w:r>
        <w:rPr>
          <w:rFonts w:hint="eastAsia" w:ascii="仿宋_GB2312" w:hAnsi="仿宋_GB2312" w:cs="仿宋_GB2312"/>
        </w:rPr>
        <w:t>5</w:t>
      </w:r>
      <w:r>
        <w:t>．</w:t>
      </w:r>
      <w:r>
        <w:rPr>
          <w:rFonts w:hint="eastAsia" w:ascii="仿宋_GB2312" w:hAnsi="仿宋_GB2312" w:cs="仿宋_GB2312"/>
        </w:rPr>
        <w:t>《证券公司风险控制指标计算标准规定》（202</w:t>
      </w:r>
      <w:r>
        <w:rPr>
          <w:rFonts w:hint="eastAsia" w:ascii="仿宋_GB2312" w:hAnsi="仿宋_GB2312" w:cs="仿宋_GB2312"/>
          <w:lang w:val="en-US" w:eastAsia="zh-CN"/>
        </w:rPr>
        <w:t>4</w:t>
      </w:r>
      <w:r>
        <w:rPr>
          <w:rFonts w:hint="eastAsia" w:ascii="仿宋_GB2312" w:hAnsi="仿宋_GB2312" w:cs="仿宋_GB2312"/>
        </w:rPr>
        <w:t>年</w:t>
      </w:r>
      <w:r>
        <w:rPr>
          <w:rFonts w:hint="eastAsia" w:ascii="仿宋_GB2312" w:hAnsi="仿宋_GB2312" w:cs="仿宋_GB2312"/>
          <w:lang w:val="en-US" w:eastAsia="zh-CN"/>
        </w:rPr>
        <w:t>9</w:t>
      </w:r>
      <w:r>
        <w:rPr>
          <w:rFonts w:hint="eastAsia" w:ascii="仿宋_GB2312" w:hAnsi="仿宋_GB2312" w:cs="仿宋_GB2312"/>
        </w:rPr>
        <w:t>月</w:t>
      </w:r>
      <w:r>
        <w:rPr>
          <w:rFonts w:hint="eastAsia" w:ascii="仿宋_GB2312" w:hAnsi="仿宋_GB2312" w:cs="仿宋_GB2312"/>
          <w:lang w:val="en-US" w:eastAsia="zh-CN"/>
        </w:rPr>
        <w:t>13</w:t>
      </w:r>
      <w:r>
        <w:rPr>
          <w:rFonts w:hint="eastAsia" w:ascii="仿宋_GB2312" w:hAnsi="仿宋_GB2312" w:cs="仿宋_GB2312"/>
        </w:rPr>
        <w:t>日公布，202</w:t>
      </w:r>
      <w:r>
        <w:rPr>
          <w:rFonts w:hint="eastAsia" w:ascii="仿宋_GB2312" w:hAnsi="仿宋_GB2312" w:cs="仿宋_GB2312"/>
          <w:lang w:val="en-US" w:eastAsia="zh-CN"/>
        </w:rPr>
        <w:t>5</w:t>
      </w:r>
      <w:r>
        <w:rPr>
          <w:rFonts w:hint="eastAsia" w:ascii="仿宋_GB2312" w:hAnsi="仿宋_GB2312" w:cs="仿宋_GB2312"/>
        </w:rPr>
        <w:t>年</w:t>
      </w:r>
      <w:r>
        <w:rPr>
          <w:rFonts w:hint="eastAsia" w:ascii="仿宋_GB2312" w:hAnsi="仿宋_GB2312" w:cs="仿宋_GB2312"/>
          <w:lang w:val="en-US" w:eastAsia="zh-CN"/>
        </w:rPr>
        <w:t>1</w:t>
      </w:r>
      <w:r>
        <w:rPr>
          <w:rFonts w:hint="eastAsia" w:ascii="仿宋_GB2312" w:hAnsi="仿宋_GB2312" w:cs="仿宋_GB2312"/>
        </w:rPr>
        <w:t>月1日起施行）</w:t>
      </w:r>
      <w:bookmarkEnd w:id="474"/>
      <w:bookmarkEnd w:id="475"/>
      <w:bookmarkEnd w:id="476"/>
      <w:bookmarkEnd w:id="477"/>
      <w:bookmarkEnd w:id="478"/>
      <w:bookmarkEnd w:id="479"/>
      <w:bookmarkEnd w:id="480"/>
      <w:bookmarkEnd w:id="481"/>
      <w:bookmarkEnd w:id="482"/>
      <w:bookmarkEnd w:id="483"/>
      <w:bookmarkEnd w:id="484"/>
      <w:bookmarkEnd w:id="485"/>
      <w:bookmarkEnd w:id="486"/>
    </w:p>
    <w:p>
      <w:pPr>
        <w:ind w:firstLine="588"/>
        <w:rPr>
          <w:rFonts w:ascii="Times New Roman" w:eastAsia="仿宋_GB2312"/>
          <w:color w:val="000000"/>
          <w:sz w:val="30"/>
          <w:szCs w:val="30"/>
        </w:rPr>
      </w:pPr>
      <w:r>
        <w:rPr>
          <w:rFonts w:ascii="仿宋_GB2312" w:hAnsi="Times New Roman" w:eastAsia="仿宋_GB2312"/>
          <w:color w:val="000000"/>
          <w:sz w:val="30"/>
          <w:szCs w:val="30"/>
        </w:rPr>
        <w:t>熟悉</w:t>
      </w:r>
      <w:r>
        <w:rPr>
          <w:rFonts w:hint="eastAsia" w:ascii="仿宋_GB2312" w:eastAsia="仿宋_GB2312"/>
          <w:color w:val="000000"/>
          <w:sz w:val="30"/>
          <w:szCs w:val="30"/>
        </w:rPr>
        <w:t>证券公司各项风险控制指标计算表</w:t>
      </w:r>
      <w:r>
        <w:rPr>
          <w:rFonts w:ascii="仿宋_GB2312" w:hAnsi="Times New Roman" w:eastAsia="仿宋_GB2312"/>
          <w:color w:val="000000"/>
          <w:sz w:val="30"/>
          <w:szCs w:val="30"/>
        </w:rPr>
        <w:t>的内容</w:t>
      </w:r>
      <w:r>
        <w:rPr>
          <w:rFonts w:hint="eastAsia" w:ascii="仿宋_GB2312" w:hAnsi="Times New Roman" w:eastAsia="仿宋_GB2312"/>
          <w:color w:val="000000"/>
          <w:sz w:val="30"/>
          <w:szCs w:val="30"/>
        </w:rPr>
        <w:t>；</w:t>
      </w:r>
      <w:r>
        <w:rPr>
          <w:rFonts w:hint="eastAsia" w:ascii="仿宋_GB2312" w:eastAsia="仿宋_GB2312"/>
          <w:color w:val="000000"/>
          <w:sz w:val="30"/>
          <w:szCs w:val="30"/>
        </w:rPr>
        <w:t>掌握权益类证券及其衍生品、非权益类证券及其衍生品、权益类基金和非权益类基金的范围；</w:t>
      </w:r>
      <w:r>
        <w:rPr>
          <w:rFonts w:hint="eastAsia" w:ascii="Times New Roman" w:eastAsia="仿宋_GB2312"/>
          <w:color w:val="000000"/>
          <w:sz w:val="30"/>
          <w:szCs w:val="30"/>
        </w:rPr>
        <w:t>掌握对不同分类评价结果证券公司调整各项风险资本准备计算系数的规定</w:t>
      </w:r>
      <w:r>
        <w:rPr>
          <w:rFonts w:ascii="Times New Roman" w:eastAsia="仿宋_GB2312"/>
          <w:color w:val="000000"/>
          <w:sz w:val="30"/>
          <w:szCs w:val="30"/>
        </w:rPr>
        <w:t>；掌握证券公司经营自营业务、融资融券业务必须符合的</w:t>
      </w:r>
      <w:r>
        <w:rPr>
          <w:rFonts w:hint="eastAsia" w:ascii="Times New Roman" w:eastAsia="仿宋_GB2312"/>
          <w:color w:val="000000"/>
          <w:sz w:val="30"/>
          <w:szCs w:val="30"/>
        </w:rPr>
        <w:t>标准</w:t>
      </w:r>
      <w:r>
        <w:rPr>
          <w:rFonts w:ascii="Times New Roman" w:eastAsia="仿宋_GB2312"/>
          <w:color w:val="000000"/>
          <w:sz w:val="30"/>
          <w:szCs w:val="30"/>
        </w:rPr>
        <w:t>。</w:t>
      </w:r>
    </w:p>
    <w:p>
      <w:pPr>
        <w:pStyle w:val="4"/>
        <w:ind w:firstLine="602"/>
        <w:rPr>
          <w:rFonts w:ascii="仿宋_GB2312" w:hAnsi="仿宋_GB2312" w:cs="仿宋_GB2312"/>
        </w:rPr>
      </w:pPr>
      <w:bookmarkStart w:id="487" w:name="_Toc5833810"/>
      <w:bookmarkStart w:id="488" w:name="_Toc595348719"/>
      <w:bookmarkStart w:id="489" w:name="_Toc28384"/>
      <w:bookmarkStart w:id="490" w:name="_Toc21564"/>
      <w:bookmarkStart w:id="491" w:name="_Toc9379"/>
      <w:bookmarkStart w:id="492" w:name="_Toc8679"/>
      <w:bookmarkStart w:id="493" w:name="_Toc1856"/>
      <w:bookmarkStart w:id="494" w:name="_Toc29846"/>
      <w:bookmarkStart w:id="495" w:name="_Toc16872"/>
      <w:bookmarkStart w:id="496" w:name="_Toc9801"/>
      <w:bookmarkStart w:id="497" w:name="_Toc109809383"/>
      <w:bookmarkStart w:id="498" w:name="_Toc26143366"/>
      <w:bookmarkStart w:id="499" w:name="_Toc30848"/>
      <w:r>
        <w:rPr>
          <w:rFonts w:hint="eastAsia" w:ascii="仿宋_GB2312" w:hAnsi="仿宋_GB2312" w:cs="仿宋_GB2312"/>
        </w:rPr>
        <w:t>6</w:t>
      </w:r>
      <w:r>
        <w:t>．</w:t>
      </w:r>
      <w:r>
        <w:rPr>
          <w:rFonts w:hint="eastAsia" w:ascii="仿宋_GB2312" w:hAnsi="仿宋_GB2312" w:cs="仿宋_GB2312"/>
        </w:rPr>
        <w:t>《证券公司全面风险管理规范》（2014年2月25日发布，2016年12月30日</w:t>
      </w:r>
      <w:r>
        <w:rPr>
          <w:rFonts w:hint="eastAsia" w:ascii="仿宋_GB2312" w:hAnsi="仿宋_GB2312" w:cs="仿宋_GB2312"/>
          <w:lang w:eastAsia="zh-CN"/>
        </w:rPr>
        <w:t>最新</w:t>
      </w:r>
      <w:r>
        <w:rPr>
          <w:rFonts w:hint="eastAsia" w:ascii="仿宋_GB2312" w:hAnsi="仿宋_GB2312" w:cs="仿宋_GB2312"/>
        </w:rPr>
        <w:t>修订并施行）</w:t>
      </w:r>
      <w:bookmarkEnd w:id="487"/>
      <w:bookmarkEnd w:id="488"/>
      <w:bookmarkEnd w:id="489"/>
      <w:bookmarkEnd w:id="490"/>
      <w:bookmarkEnd w:id="491"/>
      <w:bookmarkEnd w:id="492"/>
      <w:bookmarkEnd w:id="493"/>
      <w:bookmarkEnd w:id="494"/>
      <w:bookmarkEnd w:id="495"/>
      <w:bookmarkEnd w:id="496"/>
      <w:bookmarkEnd w:id="497"/>
      <w:bookmarkEnd w:id="498"/>
      <w:bookmarkEnd w:id="499"/>
    </w:p>
    <w:p>
      <w:pPr>
        <w:ind w:firstLine="600" w:firstLineChars="200"/>
        <w:rPr>
          <w:sz w:val="30"/>
          <w:szCs w:val="30"/>
        </w:rPr>
      </w:pPr>
      <w:r>
        <w:rPr>
          <w:rFonts w:ascii="Times New Roman" w:hAnsi="Times New Roman" w:eastAsia="仿宋_GB2312"/>
          <w:sz w:val="30"/>
          <w:szCs w:val="30"/>
        </w:rPr>
        <w:t>掌握全面风险管理的定义；掌握</w:t>
      </w:r>
      <w:r>
        <w:rPr>
          <w:rFonts w:ascii="Times New Roman" w:hAnsi="Times New Roman" w:eastAsia="仿宋_GB2312"/>
          <w:color w:val="000000"/>
          <w:kern w:val="0"/>
          <w:sz w:val="30"/>
          <w:szCs w:val="30"/>
        </w:rPr>
        <w:t>全面风险管理体系所包括的内容</w:t>
      </w:r>
      <w:r>
        <w:rPr>
          <w:rFonts w:hint="eastAsia" w:ascii="Times New Roman" w:hAnsi="Times New Roman" w:eastAsia="仿宋_GB2312"/>
          <w:color w:val="000000"/>
          <w:kern w:val="0"/>
          <w:sz w:val="30"/>
          <w:szCs w:val="30"/>
        </w:rPr>
        <w:t>和覆盖范围</w:t>
      </w:r>
      <w:r>
        <w:rPr>
          <w:rFonts w:ascii="Times New Roman" w:hAnsi="Times New Roman" w:eastAsia="仿宋_GB2312"/>
          <w:color w:val="000000"/>
          <w:kern w:val="0"/>
          <w:sz w:val="30"/>
          <w:szCs w:val="30"/>
        </w:rPr>
        <w:t>；掌握证券公司全面风险管理的责任主体；</w:t>
      </w:r>
      <w:r>
        <w:rPr>
          <w:rFonts w:hint="eastAsia" w:ascii="仿宋_GB2312" w:hAnsi="Times New Roman" w:eastAsia="仿宋_GB2312"/>
          <w:color w:val="000000"/>
          <w:kern w:val="0"/>
          <w:sz w:val="30"/>
          <w:szCs w:val="30"/>
        </w:rPr>
        <w:t>熟悉证券公司董事会、经理层在全面风险管理中的职责；</w:t>
      </w:r>
      <w:r>
        <w:rPr>
          <w:rFonts w:ascii="Times New Roman" w:hAnsi="Times New Roman" w:eastAsia="仿宋_GB2312"/>
          <w:color w:val="000000"/>
          <w:kern w:val="0"/>
          <w:sz w:val="30"/>
          <w:szCs w:val="30"/>
        </w:rPr>
        <w:t>熟悉首席风险官的</w:t>
      </w:r>
      <w:r>
        <w:rPr>
          <w:rFonts w:hint="eastAsia" w:ascii="Times New Roman" w:hAnsi="Times New Roman" w:eastAsia="仿宋_GB2312"/>
          <w:color w:val="000000"/>
          <w:kern w:val="0"/>
          <w:sz w:val="30"/>
          <w:szCs w:val="30"/>
        </w:rPr>
        <w:t>任职条件、</w:t>
      </w:r>
      <w:r>
        <w:rPr>
          <w:rFonts w:ascii="Times New Roman" w:hAnsi="Times New Roman" w:eastAsia="仿宋_GB2312"/>
          <w:color w:val="000000"/>
          <w:kern w:val="0"/>
          <w:sz w:val="30"/>
          <w:szCs w:val="30"/>
        </w:rPr>
        <w:t>独立性保障；</w:t>
      </w:r>
      <w:r>
        <w:rPr>
          <w:rFonts w:hint="eastAsia" w:ascii="仿宋_GB2312" w:hAnsi="Times New Roman" w:eastAsia="仿宋_GB2312"/>
          <w:color w:val="000000"/>
          <w:kern w:val="0"/>
          <w:sz w:val="30"/>
          <w:szCs w:val="30"/>
        </w:rPr>
        <w:t>熟悉证券公司应将子公司风险管理纳入统一体系的要求</w:t>
      </w:r>
      <w:r>
        <w:rPr>
          <w:rFonts w:ascii="Times New Roman" w:hAnsi="Times New Roman" w:eastAsia="仿宋_GB2312"/>
          <w:color w:val="000000"/>
          <w:kern w:val="0"/>
          <w:sz w:val="30"/>
          <w:szCs w:val="30"/>
        </w:rPr>
        <w:t>。</w:t>
      </w:r>
    </w:p>
    <w:p>
      <w:pPr>
        <w:pStyle w:val="4"/>
        <w:ind w:firstLine="602"/>
        <w:rPr>
          <w:rFonts w:ascii="仿宋_GB2312" w:hAnsi="仿宋_GB2312" w:cs="仿宋_GB2312"/>
        </w:rPr>
      </w:pPr>
      <w:bookmarkStart w:id="500" w:name="_Toc2766"/>
      <w:bookmarkStart w:id="501" w:name="_Toc2062856682"/>
      <w:bookmarkStart w:id="502" w:name="_Toc557393776"/>
      <w:bookmarkStart w:id="503" w:name="_Toc12704"/>
      <w:bookmarkStart w:id="504" w:name="_Toc109809384"/>
      <w:bookmarkStart w:id="505" w:name="_Toc4962"/>
      <w:bookmarkStart w:id="506" w:name="_Toc6705"/>
      <w:bookmarkStart w:id="507" w:name="_Toc19079"/>
      <w:bookmarkStart w:id="508" w:name="_Toc11943"/>
      <w:bookmarkStart w:id="509" w:name="_Toc417690825"/>
      <w:bookmarkStart w:id="510" w:name="_Toc16084"/>
      <w:bookmarkStart w:id="511" w:name="_Toc17908"/>
      <w:bookmarkStart w:id="512" w:name="_Toc8941"/>
      <w:r>
        <w:rPr>
          <w:rFonts w:hint="eastAsia" w:ascii="仿宋_GB2312" w:hAnsi="仿宋_GB2312" w:cs="仿宋_GB2312"/>
        </w:rPr>
        <w:t>7</w:t>
      </w:r>
      <w:r>
        <w:t>．</w:t>
      </w:r>
      <w:r>
        <w:rPr>
          <w:rFonts w:hint="eastAsia" w:ascii="仿宋_GB2312" w:hAnsi="仿宋_GB2312" w:cs="仿宋_GB2312"/>
        </w:rPr>
        <w:t>《证券公司流动性风险管理指引》（2014年2月25日发布，2016年12月30日</w:t>
      </w:r>
      <w:r>
        <w:rPr>
          <w:rFonts w:hint="eastAsia" w:ascii="仿宋_GB2312" w:hAnsi="仿宋_GB2312" w:cs="仿宋_GB2312"/>
          <w:lang w:eastAsia="zh-CN"/>
        </w:rPr>
        <w:t>最新</w:t>
      </w:r>
      <w:r>
        <w:rPr>
          <w:rFonts w:hint="eastAsia" w:ascii="仿宋_GB2312" w:hAnsi="仿宋_GB2312" w:cs="仿宋_GB2312"/>
        </w:rPr>
        <w:t>修订并施行）</w:t>
      </w:r>
      <w:bookmarkEnd w:id="500"/>
      <w:bookmarkEnd w:id="501"/>
      <w:bookmarkEnd w:id="502"/>
      <w:bookmarkEnd w:id="503"/>
      <w:bookmarkEnd w:id="504"/>
      <w:bookmarkEnd w:id="505"/>
      <w:bookmarkEnd w:id="506"/>
      <w:bookmarkEnd w:id="507"/>
      <w:bookmarkEnd w:id="508"/>
      <w:bookmarkEnd w:id="509"/>
      <w:bookmarkEnd w:id="510"/>
      <w:bookmarkEnd w:id="511"/>
      <w:bookmarkEnd w:id="512"/>
    </w:p>
    <w:p>
      <w:pPr>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sz w:val="30"/>
          <w:szCs w:val="30"/>
        </w:rPr>
        <w:t>掌握流动性风险</w:t>
      </w:r>
      <w:r>
        <w:rPr>
          <w:rFonts w:ascii="Times New Roman" w:hAnsi="Times New Roman" w:eastAsia="仿宋_GB2312"/>
          <w:color w:val="000000"/>
          <w:kern w:val="0"/>
          <w:sz w:val="30"/>
          <w:szCs w:val="30"/>
        </w:rPr>
        <w:t>的定义；掌握证券公司流动性风险管理的目标；掌握证券公司流动性风险管理应遵循的原则；</w:t>
      </w:r>
      <w:r>
        <w:rPr>
          <w:rFonts w:hint="eastAsia" w:ascii="仿宋_GB2312" w:hAnsi="Times New Roman" w:eastAsia="仿宋_GB2312"/>
          <w:color w:val="000000"/>
          <w:kern w:val="0"/>
          <w:sz w:val="30"/>
          <w:szCs w:val="30"/>
        </w:rPr>
        <w:t>了解将子公司纳入证券公司流动性风险管理体系的要求</w:t>
      </w:r>
      <w:r>
        <w:rPr>
          <w:rFonts w:hint="eastAsia" w:ascii="仿宋_GB2312" w:eastAsia="仿宋_GB2312"/>
          <w:sz w:val="30"/>
          <w:szCs w:val="30"/>
        </w:rPr>
        <w:t>；</w:t>
      </w:r>
      <w:r>
        <w:rPr>
          <w:rFonts w:ascii="Times New Roman" w:hAnsi="Times New Roman" w:eastAsia="仿宋_GB2312"/>
          <w:color w:val="000000"/>
          <w:kern w:val="0"/>
          <w:sz w:val="30"/>
          <w:szCs w:val="30"/>
        </w:rPr>
        <w:t>掌握证券公司董事会</w:t>
      </w:r>
      <w:r>
        <w:rPr>
          <w:rFonts w:hint="eastAsia" w:ascii="Times New Roman" w:hAnsi="Times New Roman" w:eastAsia="仿宋_GB2312"/>
          <w:color w:val="000000"/>
          <w:kern w:val="0"/>
          <w:sz w:val="30"/>
          <w:szCs w:val="30"/>
        </w:rPr>
        <w:t>、</w:t>
      </w:r>
      <w:r>
        <w:rPr>
          <w:rFonts w:ascii="Times New Roman" w:hAnsi="Times New Roman" w:eastAsia="仿宋_GB2312"/>
          <w:color w:val="000000"/>
          <w:kern w:val="0"/>
          <w:sz w:val="30"/>
          <w:szCs w:val="30"/>
        </w:rPr>
        <w:t>经理层</w:t>
      </w:r>
      <w:r>
        <w:rPr>
          <w:rFonts w:hint="eastAsia" w:ascii="Times New Roman" w:hAnsi="Times New Roman" w:eastAsia="仿宋_GB2312"/>
          <w:color w:val="000000"/>
          <w:kern w:val="0"/>
          <w:sz w:val="30"/>
          <w:szCs w:val="30"/>
        </w:rPr>
        <w:t>、首席风险官</w:t>
      </w:r>
      <w:r>
        <w:rPr>
          <w:rFonts w:ascii="Times New Roman" w:hAnsi="Times New Roman" w:eastAsia="仿宋_GB2312"/>
          <w:color w:val="000000"/>
          <w:kern w:val="0"/>
          <w:sz w:val="30"/>
          <w:szCs w:val="30"/>
        </w:rPr>
        <w:t>在流动性风险管理中承担的职责；熟悉证券公司确定流动性风险偏好的依据；了解证券公司的融资管理应符合的要求；了解证券公司流动性风险应急计划应符合的要求；掌握优质流动性资产的定义。</w:t>
      </w:r>
    </w:p>
    <w:p>
      <w:pPr>
        <w:pStyle w:val="4"/>
        <w:ind w:firstLine="602"/>
        <w:rPr>
          <w:rFonts w:ascii="仿宋_GB2312" w:hAnsi="仿宋_GB2312" w:cs="仿宋_GB2312"/>
        </w:rPr>
      </w:pPr>
      <w:bookmarkStart w:id="513" w:name="_Toc25116"/>
      <w:bookmarkStart w:id="514" w:name="_Toc20252"/>
      <w:bookmarkStart w:id="515" w:name="_Toc109809385"/>
      <w:bookmarkStart w:id="516" w:name="_Toc25991"/>
      <w:bookmarkStart w:id="517" w:name="_Toc31341"/>
      <w:bookmarkStart w:id="518" w:name="_Toc1299"/>
      <w:bookmarkStart w:id="519" w:name="_Toc14551"/>
      <w:bookmarkStart w:id="520" w:name="_Toc11659"/>
      <w:bookmarkStart w:id="521" w:name="_Toc1552943493"/>
      <w:bookmarkStart w:id="522" w:name="_Toc768887566"/>
      <w:bookmarkStart w:id="523" w:name="_Toc1278828043"/>
      <w:bookmarkStart w:id="524" w:name="_Toc12978"/>
      <w:bookmarkStart w:id="525" w:name="_Toc16605"/>
      <w:r>
        <w:rPr>
          <w:rFonts w:hint="eastAsia" w:ascii="仿宋_GB2312" w:hAnsi="仿宋_GB2312" w:cs="仿宋_GB2312"/>
        </w:rPr>
        <w:t>8</w:t>
      </w:r>
      <w:r>
        <w:t>．</w:t>
      </w:r>
      <w:r>
        <w:rPr>
          <w:rFonts w:hint="eastAsia" w:ascii="仿宋_GB2312" w:hAnsi="仿宋_GB2312" w:cs="仿宋_GB2312"/>
        </w:rPr>
        <w:t>《证券公司信用风险管理指引》（2019年7月15日发布并施行）</w:t>
      </w:r>
      <w:bookmarkEnd w:id="513"/>
      <w:bookmarkEnd w:id="514"/>
      <w:bookmarkEnd w:id="515"/>
      <w:bookmarkEnd w:id="516"/>
      <w:bookmarkEnd w:id="517"/>
      <w:bookmarkEnd w:id="518"/>
      <w:bookmarkEnd w:id="519"/>
      <w:bookmarkEnd w:id="520"/>
      <w:bookmarkEnd w:id="521"/>
      <w:bookmarkEnd w:id="522"/>
      <w:bookmarkEnd w:id="523"/>
      <w:bookmarkEnd w:id="524"/>
      <w:bookmarkEnd w:id="525"/>
    </w:p>
    <w:p>
      <w:pPr>
        <w:ind w:firstLine="60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熟悉《证券公司信用风险管理指引》的适用范围、信用风险的类别、信用风险管理的覆盖范围；掌握信用风险管理应遵循的原则；掌握信用风险管理的组织架构及相关主体的管理职责；掌握信用风险识别、评估和控制的规定；掌握信用风险监控、报告及预警机制；了解信用风险资产的处置和化解流程、方式。</w:t>
      </w:r>
    </w:p>
    <w:p>
      <w:pPr>
        <w:pStyle w:val="4"/>
        <w:ind w:firstLine="602"/>
        <w:rPr>
          <w:rFonts w:ascii="仿宋_GB2312" w:hAnsi="仿宋_GB2312" w:cs="仿宋_GB2312"/>
        </w:rPr>
      </w:pPr>
      <w:bookmarkStart w:id="526" w:name="_Toc24645"/>
      <w:bookmarkStart w:id="527" w:name="_Toc16897"/>
      <w:bookmarkStart w:id="528" w:name="_Toc1835289416"/>
      <w:bookmarkStart w:id="529" w:name="_Toc24928"/>
      <w:bookmarkStart w:id="530" w:name="_Toc24749"/>
      <w:bookmarkStart w:id="531" w:name="_Toc28461"/>
      <w:bookmarkStart w:id="532" w:name="_Toc7927"/>
      <w:bookmarkStart w:id="533" w:name="_Toc109809386"/>
      <w:bookmarkStart w:id="534" w:name="_Toc7128"/>
      <w:bookmarkStart w:id="535" w:name="_Toc264832293"/>
      <w:bookmarkStart w:id="536" w:name="_Toc393330056"/>
      <w:bookmarkStart w:id="537" w:name="_Toc8730"/>
      <w:bookmarkStart w:id="538" w:name="_Toc2502"/>
      <w:r>
        <w:rPr>
          <w:rFonts w:hint="eastAsia" w:ascii="仿宋_GB2312" w:hAnsi="仿宋_GB2312" w:cs="仿宋_GB2312"/>
        </w:rPr>
        <w:t>9</w:t>
      </w:r>
      <w:r>
        <w:t>．</w:t>
      </w:r>
      <w:r>
        <w:rPr>
          <w:rFonts w:hint="eastAsia" w:ascii="仿宋_GB2312" w:hAnsi="仿宋_GB2312" w:cs="仿宋_GB2312"/>
        </w:rPr>
        <w:t>《证券公司声誉风险管理指引》（2021年10月15日发布并施行）</w:t>
      </w:r>
      <w:bookmarkEnd w:id="526"/>
      <w:bookmarkEnd w:id="527"/>
      <w:bookmarkEnd w:id="528"/>
      <w:bookmarkEnd w:id="529"/>
      <w:bookmarkEnd w:id="530"/>
      <w:bookmarkEnd w:id="531"/>
      <w:bookmarkEnd w:id="532"/>
      <w:bookmarkEnd w:id="533"/>
      <w:bookmarkEnd w:id="534"/>
      <w:bookmarkEnd w:id="535"/>
      <w:bookmarkEnd w:id="536"/>
      <w:bookmarkEnd w:id="537"/>
      <w:bookmarkEnd w:id="538"/>
    </w:p>
    <w:p>
      <w:pPr>
        <w:ind w:firstLine="60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掌握声誉风险、声誉事件、重大声誉事件的概念；熟悉证券公司声誉风险管理应遵循的原则、制度体系建设相关规定；掌握声誉风险管理组织架构及相关主体的管理职责；熟悉可能引发证券公司声誉风险的重要因素；熟悉证券公司声誉风险评估机制、应急机制、媒体沟通机制的相关规定；了解证券公司针对不同声誉风险的报告、决策和处置流程；掌握证券公司应建立工作人员声誉约束及评价机制的规定；熟悉证券公司应当建立健全声誉风险管理的工作考核及责任追究机制。</w:t>
      </w:r>
    </w:p>
    <w:p>
      <w:pPr>
        <w:pStyle w:val="4"/>
        <w:numPr>
          <w:ilvl w:val="0"/>
          <w:numId w:val="1"/>
        </w:numPr>
        <w:ind w:firstLine="602"/>
        <w:rPr>
          <w:rFonts w:ascii="仿宋_GB2312" w:hAnsi="仿宋_GB2312" w:cs="仿宋_GB2312"/>
        </w:rPr>
      </w:pPr>
      <w:bookmarkStart w:id="539" w:name="_Toc1260633272"/>
      <w:bookmarkStart w:id="540" w:name="_Toc953150346"/>
      <w:bookmarkStart w:id="541" w:name="_Toc21990"/>
      <w:bookmarkStart w:id="542" w:name="_Toc1078413947"/>
      <w:bookmarkStart w:id="543" w:name="_Toc32627"/>
      <w:bookmarkStart w:id="544" w:name="_Toc26418"/>
      <w:bookmarkStart w:id="545" w:name="_Toc7627"/>
      <w:bookmarkStart w:id="546" w:name="_Toc21717"/>
      <w:bookmarkStart w:id="547" w:name="_Toc109809387"/>
      <w:bookmarkStart w:id="548" w:name="_Toc2519"/>
      <w:bookmarkStart w:id="549" w:name="_Toc18301"/>
      <w:r>
        <w:rPr>
          <w:rFonts w:hint="eastAsia" w:ascii="仿宋_GB2312" w:hAnsi="仿宋_GB2312" w:cs="仿宋_GB2312"/>
        </w:rPr>
        <w:t>《证券公司操作风险管理指引》（2023年12月1日发布并施行）</w:t>
      </w:r>
      <w:bookmarkEnd w:id="539"/>
      <w:bookmarkEnd w:id="540"/>
      <w:bookmarkEnd w:id="541"/>
      <w:bookmarkEnd w:id="542"/>
      <w:bookmarkEnd w:id="543"/>
      <w:bookmarkEnd w:id="544"/>
    </w:p>
    <w:p>
      <w:pPr>
        <w:ind w:firstLine="600" w:firstLineChars="200"/>
        <w:rPr>
          <w:rFonts w:ascii="Times New Roman" w:hAnsi="Times New Roman" w:eastAsia="仿宋_GB2312"/>
          <w:color w:val="000000"/>
          <w:kern w:val="0"/>
          <w:sz w:val="30"/>
          <w:szCs w:val="30"/>
        </w:rPr>
      </w:pPr>
      <w:bookmarkStart w:id="550" w:name="_Toc23595"/>
      <w:r>
        <w:rPr>
          <w:rFonts w:ascii="Times New Roman" w:hAnsi="Times New Roman" w:eastAsia="仿宋_GB2312"/>
          <w:color w:val="000000"/>
          <w:kern w:val="0"/>
          <w:sz w:val="30"/>
          <w:szCs w:val="30"/>
        </w:rPr>
        <w:t>熟悉操作风险概念、基本原则及操作风险管理体系应当包括的内容；掌握操作风险组织架构及相关主体的管理职责；熟悉操作风险管理机制及专项领域的操作风险管理；了解证券公司操作风险管理信息系统、数据及其他管理要求；了解证券公司重大操作风险事件报告及问责相关规定。</w:t>
      </w:r>
      <w:bookmarkEnd w:id="550"/>
    </w:p>
    <w:p>
      <w:pPr>
        <w:pStyle w:val="4"/>
        <w:numPr>
          <w:ilvl w:val="0"/>
          <w:numId w:val="1"/>
        </w:numPr>
        <w:ind w:left="0" w:leftChars="0" w:firstLine="602" w:firstLineChars="200"/>
        <w:rPr>
          <w:rFonts w:ascii="仿宋_GB2312" w:hAnsi="仿宋_GB2312" w:cs="仿宋_GB2312"/>
        </w:rPr>
      </w:pPr>
      <w:bookmarkStart w:id="551" w:name="_Toc25554"/>
      <w:bookmarkStart w:id="552" w:name="_Toc16774"/>
      <w:bookmarkStart w:id="553" w:name="_Toc32752833"/>
      <w:bookmarkStart w:id="554" w:name="_Toc744208757"/>
      <w:bookmarkStart w:id="555" w:name="_Toc165328334"/>
      <w:bookmarkStart w:id="556" w:name="_Toc27714"/>
      <w:r>
        <w:rPr>
          <w:rFonts w:hint="eastAsia" w:ascii="仿宋_GB2312" w:hAnsi="仿宋_GB2312" w:cs="仿宋_GB2312"/>
        </w:rPr>
        <w:t>《证券公司压力测试指引》（2011年3月23日发布，</w:t>
      </w:r>
      <w:r>
        <w:rPr>
          <w:rFonts w:hint="eastAsia" w:ascii="仿宋_GB2312" w:hAnsi="仿宋_GB2312" w:cs="仿宋_GB2312"/>
          <w:lang w:val="en-US" w:eastAsia="zh-CN"/>
        </w:rPr>
        <w:t>2023</w:t>
      </w:r>
      <w:r>
        <w:rPr>
          <w:rFonts w:hint="eastAsia" w:ascii="仿宋_GB2312" w:hAnsi="仿宋_GB2312" w:cs="仿宋_GB2312"/>
        </w:rPr>
        <w:t>年</w:t>
      </w:r>
      <w:r>
        <w:rPr>
          <w:rFonts w:hint="eastAsia" w:ascii="仿宋_GB2312" w:hAnsi="仿宋_GB2312" w:cs="仿宋_GB2312"/>
          <w:lang w:val="en-US" w:eastAsia="zh-CN"/>
        </w:rPr>
        <w:t>7</w:t>
      </w:r>
      <w:r>
        <w:rPr>
          <w:rFonts w:hint="eastAsia" w:ascii="仿宋_GB2312" w:hAnsi="仿宋_GB2312" w:cs="仿宋_GB2312"/>
        </w:rPr>
        <w:t>月</w:t>
      </w:r>
      <w:r>
        <w:rPr>
          <w:rFonts w:hint="eastAsia" w:ascii="仿宋_GB2312" w:hAnsi="仿宋_GB2312" w:cs="仿宋_GB2312"/>
          <w:lang w:val="en-US" w:eastAsia="zh-CN"/>
        </w:rPr>
        <w:t>2</w:t>
      </w:r>
      <w:r>
        <w:rPr>
          <w:rFonts w:hint="default" w:ascii="仿宋_GB2312" w:hAnsi="仿宋_GB2312" w:cs="仿宋_GB2312"/>
          <w:lang w:val="en" w:eastAsia="zh-CN"/>
        </w:rPr>
        <w:t>1</w:t>
      </w:r>
      <w:r>
        <w:rPr>
          <w:rFonts w:hint="eastAsia" w:ascii="仿宋_GB2312" w:hAnsi="仿宋_GB2312" w:cs="仿宋_GB2312"/>
        </w:rPr>
        <w:t>日</w:t>
      </w:r>
      <w:r>
        <w:rPr>
          <w:rFonts w:hint="eastAsia" w:ascii="仿宋_GB2312" w:hAnsi="仿宋_GB2312" w:cs="仿宋_GB2312"/>
          <w:lang w:eastAsia="zh-CN"/>
        </w:rPr>
        <w:t>最新</w:t>
      </w:r>
      <w:r>
        <w:rPr>
          <w:rFonts w:hint="eastAsia" w:ascii="仿宋_GB2312" w:hAnsi="仿宋_GB2312" w:cs="仿宋_GB2312"/>
        </w:rPr>
        <w:t>修订并施行）</w:t>
      </w:r>
      <w:bookmarkEnd w:id="545"/>
      <w:bookmarkEnd w:id="546"/>
      <w:bookmarkEnd w:id="547"/>
      <w:bookmarkEnd w:id="548"/>
      <w:bookmarkEnd w:id="549"/>
      <w:bookmarkEnd w:id="551"/>
      <w:bookmarkEnd w:id="552"/>
      <w:bookmarkEnd w:id="553"/>
      <w:bookmarkEnd w:id="554"/>
      <w:bookmarkEnd w:id="555"/>
      <w:bookmarkEnd w:id="556"/>
    </w:p>
    <w:p>
      <w:pPr>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掌握证券公司压力测试的定义；</w:t>
      </w:r>
      <w:r>
        <w:rPr>
          <w:rFonts w:hint="eastAsia" w:ascii="Times New Roman" w:hAnsi="Times New Roman" w:eastAsia="仿宋_GB2312"/>
          <w:color w:val="000000"/>
          <w:kern w:val="0"/>
          <w:sz w:val="30"/>
          <w:szCs w:val="30"/>
        </w:rPr>
        <w:t>熟悉</w:t>
      </w:r>
      <w:r>
        <w:rPr>
          <w:rFonts w:ascii="Times New Roman" w:hAnsi="Times New Roman" w:eastAsia="仿宋_GB2312"/>
          <w:color w:val="000000"/>
          <w:kern w:val="0"/>
          <w:sz w:val="30"/>
          <w:szCs w:val="30"/>
        </w:rPr>
        <w:t>证券公司开展压力测试的原则；</w:t>
      </w:r>
      <w:r>
        <w:rPr>
          <w:rFonts w:hint="eastAsia" w:ascii="Times New Roman" w:hAnsi="Times New Roman" w:eastAsia="仿宋_GB2312"/>
          <w:color w:val="000000"/>
          <w:kern w:val="0"/>
          <w:sz w:val="30"/>
          <w:szCs w:val="30"/>
        </w:rPr>
        <w:t>掌握</w:t>
      </w:r>
      <w:r>
        <w:rPr>
          <w:rFonts w:ascii="Times New Roman" w:hAnsi="Times New Roman" w:eastAsia="仿宋_GB2312"/>
          <w:color w:val="000000"/>
          <w:kern w:val="0"/>
          <w:sz w:val="30"/>
          <w:szCs w:val="30"/>
        </w:rPr>
        <w:t>证券公司压力测试的</w:t>
      </w:r>
      <w:r>
        <w:rPr>
          <w:rFonts w:hint="eastAsia" w:ascii="Times New Roman" w:hAnsi="Times New Roman" w:eastAsia="仿宋_GB2312"/>
          <w:color w:val="000000"/>
          <w:kern w:val="0"/>
          <w:sz w:val="30"/>
          <w:szCs w:val="30"/>
        </w:rPr>
        <w:t>保障机制</w:t>
      </w:r>
      <w:r>
        <w:rPr>
          <w:rFonts w:ascii="Times New Roman" w:hAnsi="Times New Roman" w:eastAsia="仿宋_GB2312"/>
          <w:color w:val="000000"/>
          <w:kern w:val="0"/>
          <w:sz w:val="30"/>
          <w:szCs w:val="30"/>
        </w:rPr>
        <w:t>；</w:t>
      </w:r>
      <w:r>
        <w:rPr>
          <w:rFonts w:ascii="Times New Roman" w:hAnsi="Times New Roman" w:eastAsia="仿宋_GB2312"/>
          <w:sz w:val="30"/>
          <w:szCs w:val="30"/>
        </w:rPr>
        <w:t>掌握证券公司开展压力测试的</w:t>
      </w:r>
      <w:r>
        <w:rPr>
          <w:rFonts w:hint="eastAsia" w:ascii="Times New Roman" w:hAnsi="Times New Roman" w:eastAsia="仿宋_GB2312"/>
          <w:sz w:val="30"/>
          <w:szCs w:val="30"/>
        </w:rPr>
        <w:t>触发情景、方法和主要步骤等</w:t>
      </w:r>
      <w:r>
        <w:rPr>
          <w:rFonts w:ascii="Times New Roman" w:hAnsi="Times New Roman" w:eastAsia="仿宋_GB2312"/>
          <w:sz w:val="30"/>
          <w:szCs w:val="30"/>
        </w:rPr>
        <w:t>；</w:t>
      </w:r>
      <w:r>
        <w:rPr>
          <w:rFonts w:hint="eastAsia" w:ascii="Times New Roman" w:hAnsi="Times New Roman" w:eastAsia="仿宋_GB2312"/>
          <w:sz w:val="30"/>
          <w:szCs w:val="30"/>
        </w:rPr>
        <w:t>熟悉压力测试的报告和应用。</w:t>
      </w:r>
    </w:p>
    <w:p>
      <w:pPr>
        <w:pStyle w:val="3"/>
        <w:ind w:firstLine="602"/>
        <w:rPr>
          <w:rFonts w:hint="default" w:ascii="Times New Roman" w:hAnsi="Times New Roman"/>
          <w:color w:val="000000"/>
          <w:szCs w:val="30"/>
        </w:rPr>
      </w:pPr>
      <w:bookmarkStart w:id="557" w:name="_Toc22183"/>
      <w:bookmarkStart w:id="558" w:name="_Toc2103493883"/>
      <w:bookmarkStart w:id="559" w:name="_Toc10559"/>
      <w:bookmarkStart w:id="560" w:name="_Toc31444"/>
      <w:bookmarkStart w:id="561" w:name="_Toc1972249554"/>
      <w:bookmarkStart w:id="562" w:name="_Toc109809388"/>
      <w:bookmarkStart w:id="563" w:name="_Toc18998"/>
      <w:bookmarkStart w:id="564" w:name="_Toc8546"/>
      <w:bookmarkStart w:id="565" w:name="_Toc11996"/>
      <w:bookmarkStart w:id="566" w:name="_Toc26859"/>
      <w:bookmarkStart w:id="567" w:name="_Toc15863"/>
      <w:bookmarkStart w:id="568" w:name="_Toc8240"/>
      <w:bookmarkStart w:id="569" w:name="_Toc1065130482"/>
      <w:r>
        <w:rPr>
          <w:rFonts w:ascii="仿宋_GB2312" w:hAnsi="仿宋_GB2312" w:cs="仿宋_GB2312"/>
          <w:kern w:val="2"/>
          <w:szCs w:val="22"/>
        </w:rPr>
        <w:t>（四）</w:t>
      </w:r>
      <w:r>
        <w:rPr>
          <w:rFonts w:ascii="Times New Roman" w:hAnsi="Times New Roman"/>
          <w:color w:val="000000"/>
          <w:szCs w:val="30"/>
        </w:rPr>
        <w:t>信息技术保障</w:t>
      </w:r>
      <w:bookmarkEnd w:id="557"/>
      <w:bookmarkEnd w:id="558"/>
      <w:bookmarkEnd w:id="559"/>
      <w:bookmarkEnd w:id="560"/>
      <w:bookmarkEnd w:id="561"/>
      <w:bookmarkEnd w:id="562"/>
      <w:bookmarkEnd w:id="563"/>
      <w:bookmarkEnd w:id="564"/>
      <w:bookmarkEnd w:id="565"/>
      <w:bookmarkEnd w:id="566"/>
      <w:bookmarkEnd w:id="567"/>
      <w:bookmarkEnd w:id="568"/>
      <w:bookmarkEnd w:id="569"/>
    </w:p>
    <w:p>
      <w:pPr>
        <w:pStyle w:val="4"/>
        <w:ind w:firstLine="602"/>
        <w:rPr>
          <w:rFonts w:ascii="仿宋_GB2312" w:hAnsi="仿宋_GB2312" w:cs="仿宋_GB2312"/>
        </w:rPr>
      </w:pPr>
      <w:bookmarkStart w:id="570" w:name="_Toc1871390307"/>
      <w:bookmarkStart w:id="571" w:name="_Toc15691"/>
      <w:bookmarkStart w:id="572" w:name="_Toc32445"/>
      <w:bookmarkStart w:id="573" w:name="_Toc968"/>
      <w:bookmarkStart w:id="574" w:name="_Toc16279"/>
      <w:bookmarkStart w:id="575" w:name="_Toc30445"/>
      <w:bookmarkStart w:id="576" w:name="_Toc109809389"/>
      <w:bookmarkStart w:id="577" w:name="_Toc23657"/>
      <w:bookmarkStart w:id="578" w:name="_Toc3238"/>
      <w:bookmarkStart w:id="579" w:name="_Toc20502"/>
      <w:bookmarkStart w:id="580" w:name="_Toc7895"/>
      <w:bookmarkStart w:id="581" w:name="_Toc1322403705"/>
      <w:bookmarkStart w:id="582" w:name="_Toc1555112363"/>
      <w:r>
        <w:rPr>
          <w:rFonts w:hint="eastAsia" w:ascii="仿宋_GB2312" w:hAnsi="仿宋_GB2312" w:cs="仿宋_GB2312"/>
        </w:rPr>
        <w:t>1</w:t>
      </w:r>
      <w:r>
        <w:t>．</w:t>
      </w:r>
      <w:r>
        <w:rPr>
          <w:rFonts w:hint="eastAsia" w:ascii="仿宋_GB2312" w:hAnsi="仿宋_GB2312" w:cs="仿宋_GB2312"/>
        </w:rPr>
        <w:t>《证券基金经营机构信息技术管理办法》（2018年12月19日公布，2021年1月15日最新修</w:t>
      </w:r>
      <w:r>
        <w:rPr>
          <w:rFonts w:hint="eastAsia" w:ascii="仿宋_GB2312" w:hAnsi="仿宋_GB2312" w:cs="仿宋_GB2312"/>
          <w:lang w:eastAsia="zh-CN"/>
        </w:rPr>
        <w:t>订</w:t>
      </w:r>
      <w:r>
        <w:rPr>
          <w:rFonts w:hint="eastAsia" w:ascii="仿宋_GB2312" w:hAnsi="仿宋_GB2312" w:cs="仿宋_GB2312"/>
        </w:rPr>
        <w:t>并施行）</w:t>
      </w:r>
      <w:bookmarkEnd w:id="570"/>
      <w:bookmarkEnd w:id="571"/>
      <w:bookmarkEnd w:id="572"/>
      <w:bookmarkEnd w:id="573"/>
      <w:bookmarkEnd w:id="574"/>
      <w:bookmarkEnd w:id="575"/>
      <w:bookmarkEnd w:id="576"/>
      <w:bookmarkEnd w:id="577"/>
      <w:bookmarkEnd w:id="578"/>
      <w:bookmarkEnd w:id="579"/>
      <w:bookmarkEnd w:id="580"/>
      <w:bookmarkEnd w:id="581"/>
      <w:bookmarkEnd w:id="582"/>
    </w:p>
    <w:p>
      <w:pPr>
        <w:ind w:firstLine="600" w:firstLineChars="200"/>
        <w:rPr>
          <w:rFonts w:ascii="Times New Roman" w:hAnsi="Times New Roman" w:eastAsia="仿宋_GB2312"/>
          <w:bCs/>
          <w:color w:val="000000"/>
          <w:sz w:val="30"/>
          <w:szCs w:val="30"/>
        </w:rPr>
      </w:pPr>
      <w:r>
        <w:rPr>
          <w:rFonts w:hint="eastAsia" w:ascii="Times New Roman" w:hAnsi="Times New Roman" w:eastAsia="仿宋_GB2312"/>
          <w:bCs/>
          <w:color w:val="000000"/>
          <w:sz w:val="30"/>
          <w:szCs w:val="30"/>
        </w:rPr>
        <w:t>掌握证券公司信息技术治理的要求；掌握证券公司董事会、经营管理层、信息技术治理委员会、信息技术管理部门在信息技术管理中的职责以及首席信息官的职责、任职条件；熟悉证券公司信息技术合规与风险管理的相关内容；熟悉证券公司信息系统安全、数据治理以及应急管理等信息技术安全的相关内容；熟悉委托信息技术服务机构提供信息技术服务的必备条件、责任划分、管理要求、信息技术服务机构内部质量控制机制和禁止性要求、信息技术服务协议及保密协议签署要求。</w:t>
      </w:r>
    </w:p>
    <w:p>
      <w:pPr>
        <w:pStyle w:val="4"/>
        <w:ind w:firstLine="602"/>
        <w:rPr>
          <w:rFonts w:ascii="仿宋_GB2312" w:hAnsi="仿宋_GB2312" w:cs="仿宋_GB2312"/>
        </w:rPr>
      </w:pPr>
      <w:bookmarkStart w:id="583" w:name="_Toc391204729"/>
      <w:bookmarkStart w:id="584" w:name="_Toc109809390"/>
      <w:bookmarkStart w:id="585" w:name="_Toc2380"/>
      <w:bookmarkStart w:id="586" w:name="_Toc22053"/>
      <w:bookmarkStart w:id="587" w:name="_Toc2125882394"/>
      <w:bookmarkStart w:id="588" w:name="_Toc24190"/>
      <w:bookmarkStart w:id="589" w:name="_Toc31146"/>
      <w:bookmarkStart w:id="590" w:name="_Toc23697"/>
      <w:bookmarkStart w:id="591" w:name="_Toc13920"/>
      <w:bookmarkStart w:id="592" w:name="_Toc1402312671"/>
      <w:bookmarkStart w:id="593" w:name="_Toc3930"/>
      <w:bookmarkStart w:id="594" w:name="_Toc10382"/>
      <w:bookmarkStart w:id="595" w:name="_Toc5609"/>
      <w:r>
        <w:rPr>
          <w:rFonts w:hint="eastAsia" w:ascii="仿宋_GB2312" w:hAnsi="仿宋_GB2312" w:cs="仿宋_GB2312"/>
        </w:rPr>
        <w:t>2</w:t>
      </w:r>
      <w:r>
        <w:t>．</w:t>
      </w:r>
      <w:r>
        <w:rPr>
          <w:rFonts w:hint="eastAsia" w:ascii="仿宋_GB2312" w:hAnsi="仿宋_GB2312" w:cs="仿宋_GB2312"/>
        </w:rPr>
        <w:t>《证券期货业网络和信息安全管理办法》 （2023年2月27日公布，2023年5月1日起施行）</w:t>
      </w:r>
      <w:bookmarkEnd w:id="583"/>
      <w:bookmarkEnd w:id="584"/>
      <w:bookmarkEnd w:id="585"/>
      <w:bookmarkEnd w:id="586"/>
      <w:bookmarkEnd w:id="587"/>
      <w:bookmarkEnd w:id="588"/>
      <w:bookmarkEnd w:id="589"/>
      <w:bookmarkEnd w:id="590"/>
      <w:bookmarkEnd w:id="591"/>
      <w:bookmarkEnd w:id="592"/>
      <w:bookmarkEnd w:id="593"/>
      <w:bookmarkEnd w:id="594"/>
      <w:bookmarkEnd w:id="595"/>
    </w:p>
    <w:p>
      <w:pPr>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熟悉证券公司投资者个人信息保护相关要求</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熟悉证券公司网络和信息安全应急处置相关规定</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了解证券公司网络和信息安全管理总体要求、相关机构在证券期货业网络和信息安全管理过程中的职责</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掌握证券公司网络和信息安全运行相关规定</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了解证券公司网络和信息安全的监管要求及法律责任</w:t>
      </w:r>
      <w:r>
        <w:rPr>
          <w:rFonts w:ascii="Times New Roman" w:hAnsi="Times New Roman" w:eastAsia="仿宋_GB2312"/>
          <w:color w:val="000000"/>
          <w:sz w:val="30"/>
          <w:szCs w:val="30"/>
        </w:rPr>
        <w:t>。</w:t>
      </w:r>
    </w:p>
    <w:p>
      <w:pPr>
        <w:pStyle w:val="3"/>
        <w:ind w:firstLine="602"/>
        <w:rPr>
          <w:rFonts w:hint="default" w:ascii="Times New Roman" w:hAnsi="Times New Roman"/>
          <w:color w:val="000000"/>
          <w:szCs w:val="30"/>
        </w:rPr>
      </w:pPr>
      <w:bookmarkStart w:id="596" w:name="_Toc411155944"/>
      <w:bookmarkStart w:id="597" w:name="_Toc8353"/>
      <w:bookmarkStart w:id="598" w:name="_Toc984269626"/>
      <w:bookmarkStart w:id="599" w:name="_Toc19209"/>
      <w:bookmarkStart w:id="600" w:name="_Toc1168"/>
      <w:bookmarkStart w:id="601" w:name="_Toc1696"/>
      <w:bookmarkStart w:id="602" w:name="_Toc32498"/>
      <w:bookmarkStart w:id="603" w:name="_Toc27888"/>
      <w:bookmarkStart w:id="604" w:name="_Toc8856"/>
      <w:bookmarkStart w:id="605" w:name="_Toc25868"/>
      <w:bookmarkStart w:id="606" w:name="_Toc1108184867"/>
      <w:bookmarkStart w:id="607" w:name="_Toc5650"/>
      <w:bookmarkStart w:id="608" w:name="_Toc109809391"/>
      <w:r>
        <w:rPr>
          <w:rFonts w:ascii="仿宋_GB2312" w:hAnsi="仿宋_GB2312" w:cs="仿宋_GB2312"/>
          <w:kern w:val="2"/>
          <w:szCs w:val="22"/>
        </w:rPr>
        <w:t>（五）</w:t>
      </w:r>
      <w:r>
        <w:rPr>
          <w:rFonts w:ascii="Times New Roman" w:hAnsi="Times New Roman"/>
          <w:color w:val="000000"/>
          <w:szCs w:val="30"/>
        </w:rPr>
        <w:t>投资者保护</w:t>
      </w:r>
      <w:bookmarkEnd w:id="596"/>
      <w:bookmarkEnd w:id="597"/>
      <w:bookmarkEnd w:id="598"/>
      <w:bookmarkEnd w:id="599"/>
      <w:bookmarkEnd w:id="600"/>
      <w:bookmarkEnd w:id="601"/>
      <w:bookmarkEnd w:id="602"/>
      <w:bookmarkEnd w:id="603"/>
      <w:bookmarkEnd w:id="604"/>
      <w:bookmarkEnd w:id="605"/>
      <w:bookmarkEnd w:id="606"/>
      <w:bookmarkEnd w:id="607"/>
      <w:bookmarkEnd w:id="608"/>
    </w:p>
    <w:p>
      <w:pPr>
        <w:pStyle w:val="4"/>
        <w:ind w:firstLine="602"/>
        <w:rPr>
          <w:rFonts w:ascii="仿宋_GB2312" w:hAnsi="仿宋_GB2312" w:cs="仿宋_GB2312"/>
        </w:rPr>
      </w:pPr>
      <w:bookmarkStart w:id="609" w:name="_Toc26855"/>
      <w:bookmarkStart w:id="610" w:name="_Toc20176"/>
      <w:bookmarkStart w:id="611" w:name="_Toc22298"/>
      <w:bookmarkStart w:id="612" w:name="_Toc15535"/>
      <w:bookmarkStart w:id="613" w:name="_Toc1865481180"/>
      <w:bookmarkStart w:id="614" w:name="_Toc1581"/>
      <w:bookmarkStart w:id="615" w:name="_Toc14993"/>
      <w:bookmarkStart w:id="616" w:name="_Toc141708150"/>
      <w:bookmarkStart w:id="617" w:name="_Toc309"/>
      <w:bookmarkStart w:id="618" w:name="_Toc9270"/>
      <w:bookmarkStart w:id="619" w:name="_Toc3848"/>
      <w:bookmarkStart w:id="620" w:name="_Toc1516824470"/>
      <w:bookmarkStart w:id="621" w:name="_Toc109809392"/>
      <w:r>
        <w:rPr>
          <w:rFonts w:hint="eastAsia" w:ascii="仿宋_GB2312" w:hAnsi="仿宋_GB2312" w:cs="仿宋_GB2312"/>
        </w:rPr>
        <w:t>1</w:t>
      </w:r>
      <w:r>
        <w:t>．</w:t>
      </w:r>
      <w:r>
        <w:rPr>
          <w:rFonts w:hint="eastAsia" w:ascii="仿宋_GB2312" w:hAnsi="仿宋_GB2312" w:cs="仿宋_GB2312"/>
        </w:rPr>
        <w:t>《证券期货投资者适当性管理办法》（2016年12月12日公布，2022年8月12日</w:t>
      </w:r>
      <w:r>
        <w:rPr>
          <w:rFonts w:ascii="仿宋_GB2312" w:hAnsi="仿宋_GB2312" w:cs="仿宋_GB2312"/>
        </w:rPr>
        <w:t>最新修</w:t>
      </w:r>
      <w:r>
        <w:rPr>
          <w:rFonts w:hint="eastAsia" w:ascii="仿宋_GB2312" w:hAnsi="仿宋_GB2312" w:cs="仿宋_GB2312"/>
          <w:lang w:eastAsia="zh-CN"/>
        </w:rPr>
        <w:t>订</w:t>
      </w:r>
      <w:r>
        <w:rPr>
          <w:rFonts w:hint="eastAsia" w:ascii="仿宋_GB2312" w:hAnsi="仿宋_GB2312" w:cs="仿宋_GB2312"/>
        </w:rPr>
        <w:t>并施行）及《证券经营机构投资者适当性管理实施指引（试行）》（2017年6月28日发布，2017年7月1日起施行）</w:t>
      </w:r>
      <w:bookmarkEnd w:id="609"/>
      <w:bookmarkEnd w:id="610"/>
      <w:bookmarkEnd w:id="611"/>
      <w:bookmarkEnd w:id="612"/>
      <w:bookmarkEnd w:id="613"/>
      <w:bookmarkEnd w:id="614"/>
      <w:bookmarkEnd w:id="615"/>
      <w:bookmarkEnd w:id="616"/>
      <w:bookmarkEnd w:id="617"/>
      <w:bookmarkEnd w:id="618"/>
      <w:bookmarkEnd w:id="619"/>
      <w:bookmarkEnd w:id="620"/>
      <w:bookmarkEnd w:id="621"/>
    </w:p>
    <w:p>
      <w:pPr>
        <w:ind w:firstLine="600" w:firstLineChars="200"/>
        <w:rPr>
          <w:rFonts w:ascii="Times New Roman" w:eastAsia="仿宋_GB2312"/>
          <w:color w:val="000000"/>
          <w:sz w:val="30"/>
          <w:szCs w:val="30"/>
        </w:rPr>
      </w:pPr>
      <w:r>
        <w:rPr>
          <w:rFonts w:hint="eastAsia" w:ascii="Times New Roman" w:hAnsi="Times New Roman" w:eastAsia="仿宋_GB2312"/>
          <w:bCs/>
          <w:color w:val="000000"/>
          <w:sz w:val="30"/>
          <w:szCs w:val="30"/>
        </w:rPr>
        <w:t>掌握证券经营机构向投资者销售产品或提供服务应了解的投资者信息；掌握普通投资者享有特别保护的规定；熟悉专业投资者的范围及专业投资者和普通投资者相互转化的条件和程序；掌握证券经营机构对产品和服务风险等级评估的要求及应考虑的因素；熟悉证券经营机构销售产品或提供服务的禁止性行为；熟悉证券经营机构向普通投资者销售产品或提供服务前应告知的信息；掌握投资者评估数据库应当包含的信息；掌握投资者风险承受能力等级与产品或服务的风险等级适当性匹配的具体方法；熟悉证券经营机构进行投资者回访的要求；了解证券经营机构适当性自查的要求。</w:t>
      </w:r>
    </w:p>
    <w:p>
      <w:pPr>
        <w:pStyle w:val="4"/>
        <w:ind w:firstLine="602"/>
        <w:rPr>
          <w:rFonts w:ascii="仿宋_GB2312" w:hAnsi="仿宋_GB2312" w:cs="仿宋_GB2312"/>
        </w:rPr>
      </w:pPr>
      <w:bookmarkStart w:id="622" w:name="_Toc28593"/>
      <w:bookmarkStart w:id="623" w:name="_Toc1069289080"/>
      <w:bookmarkStart w:id="624" w:name="_Toc25051"/>
      <w:bookmarkStart w:id="625" w:name="_Toc7662"/>
      <w:bookmarkStart w:id="626" w:name="_Toc80083817"/>
      <w:bookmarkStart w:id="627" w:name="_Toc2199"/>
      <w:bookmarkStart w:id="628" w:name="_Toc24373"/>
      <w:bookmarkStart w:id="629" w:name="_Toc345866418"/>
      <w:bookmarkStart w:id="630" w:name="_Toc5398"/>
      <w:bookmarkStart w:id="631" w:name="_Toc19013"/>
      <w:bookmarkStart w:id="632" w:name="_Toc11927"/>
      <w:bookmarkStart w:id="633" w:name="_Toc109809393"/>
      <w:bookmarkStart w:id="634" w:name="_Toc3998"/>
      <w:r>
        <w:rPr>
          <w:rFonts w:hint="eastAsia" w:ascii="仿宋_GB2312" w:hAnsi="仿宋_GB2312" w:cs="仿宋_GB2312"/>
        </w:rPr>
        <w:t>2</w:t>
      </w:r>
      <w:r>
        <w:t>．</w:t>
      </w:r>
      <w:r>
        <w:rPr>
          <w:rFonts w:hint="eastAsia" w:ascii="仿宋_GB2312" w:hAnsi="仿宋_GB2312" w:cs="仿宋_GB2312"/>
        </w:rPr>
        <w:t>《证券经营机构投资者教育工作指引》（2019年5月15日发布并施行）</w:t>
      </w:r>
      <w:bookmarkEnd w:id="622"/>
      <w:bookmarkEnd w:id="623"/>
      <w:bookmarkEnd w:id="624"/>
      <w:bookmarkEnd w:id="625"/>
      <w:bookmarkEnd w:id="626"/>
      <w:bookmarkEnd w:id="627"/>
      <w:bookmarkEnd w:id="628"/>
      <w:bookmarkEnd w:id="629"/>
      <w:bookmarkEnd w:id="630"/>
      <w:bookmarkEnd w:id="631"/>
      <w:bookmarkEnd w:id="632"/>
      <w:bookmarkEnd w:id="633"/>
      <w:bookmarkEnd w:id="634"/>
    </w:p>
    <w:p>
      <w:pPr>
        <w:spacing w:line="240" w:lineRule="atLeast"/>
        <w:ind w:firstLine="600" w:firstLineChars="200"/>
        <w:rPr>
          <w:rFonts w:ascii="Times New Roman" w:eastAsia="仿宋_GB2312"/>
          <w:color w:val="000000"/>
          <w:sz w:val="30"/>
          <w:szCs w:val="30"/>
        </w:rPr>
      </w:pPr>
      <w:r>
        <w:rPr>
          <w:rFonts w:hint="eastAsia" w:ascii="Times New Roman" w:eastAsia="仿宋_GB2312"/>
          <w:color w:val="000000"/>
          <w:sz w:val="30"/>
          <w:szCs w:val="30"/>
        </w:rPr>
        <w:t>熟悉投资者教育工作的概念、目标；熟悉投资者教育工作制度及投资者教育工作部门的相关规定。</w:t>
      </w:r>
    </w:p>
    <w:p>
      <w:pPr>
        <w:pStyle w:val="4"/>
        <w:ind w:firstLine="602"/>
        <w:rPr>
          <w:rFonts w:ascii="仿宋_GB2312" w:hAnsi="仿宋_GB2312" w:cs="仿宋_GB2312"/>
        </w:rPr>
      </w:pPr>
      <w:bookmarkStart w:id="635" w:name="_Toc24363"/>
      <w:bookmarkStart w:id="636" w:name="_Toc1597361471"/>
      <w:bookmarkStart w:id="637" w:name="_Toc28448"/>
      <w:bookmarkStart w:id="638" w:name="_Toc28171"/>
      <w:bookmarkStart w:id="639" w:name="_Toc1669202902"/>
      <w:bookmarkStart w:id="640" w:name="_Toc12840"/>
      <w:bookmarkStart w:id="641" w:name="_Toc30593"/>
      <w:bookmarkStart w:id="642" w:name="_Toc30200"/>
      <w:bookmarkStart w:id="643" w:name="_Toc5192"/>
      <w:bookmarkStart w:id="644" w:name="_Toc646495649"/>
      <w:bookmarkStart w:id="645" w:name="_Toc26094"/>
      <w:bookmarkStart w:id="646" w:name="_Toc109809394"/>
      <w:bookmarkStart w:id="647" w:name="_Toc18503"/>
      <w:r>
        <w:rPr>
          <w:rFonts w:hint="eastAsia" w:ascii="仿宋_GB2312" w:hAnsi="仿宋_GB2312" w:cs="仿宋_GB2312"/>
        </w:rPr>
        <w:t>3</w:t>
      </w:r>
      <w:r>
        <w:t>．</w:t>
      </w:r>
      <w:r>
        <w:rPr>
          <w:rFonts w:hint="eastAsia" w:ascii="仿宋_GB2312" w:hAnsi="仿宋_GB2312" w:cs="仿宋_GB2312"/>
        </w:rPr>
        <w:t>《证券公司投资者权益保护工作规范》（2021年5月15日发布并施行）</w:t>
      </w:r>
      <w:bookmarkEnd w:id="635"/>
      <w:bookmarkEnd w:id="636"/>
      <w:bookmarkEnd w:id="637"/>
      <w:bookmarkEnd w:id="638"/>
      <w:bookmarkEnd w:id="639"/>
      <w:bookmarkEnd w:id="640"/>
      <w:bookmarkEnd w:id="641"/>
      <w:bookmarkEnd w:id="642"/>
      <w:bookmarkEnd w:id="643"/>
      <w:bookmarkEnd w:id="644"/>
      <w:bookmarkEnd w:id="645"/>
      <w:bookmarkEnd w:id="646"/>
      <w:bookmarkEnd w:id="647"/>
    </w:p>
    <w:p>
      <w:pPr>
        <w:spacing w:line="240" w:lineRule="atLeast"/>
        <w:ind w:firstLine="600" w:firstLineChars="200"/>
        <w:rPr>
          <w:rFonts w:ascii="Times New Roman" w:eastAsia="仿宋_GB2312"/>
          <w:color w:val="000000"/>
          <w:sz w:val="30"/>
          <w:szCs w:val="30"/>
        </w:rPr>
      </w:pPr>
      <w:r>
        <w:rPr>
          <w:rFonts w:hint="eastAsia" w:ascii="Times New Roman" w:eastAsia="仿宋_GB2312"/>
          <w:color w:val="000000"/>
          <w:sz w:val="30"/>
          <w:szCs w:val="30"/>
        </w:rPr>
        <w:t>掌握《证券公司投资者权益保护工作规范》的适用范围、投资者权益保护工作的概念；掌握投资者权益保护的组织架构及相关主体的职责分工；掌握证券公司向投资者提供产品和服务时使用格式条款的，应合理设置格式条款中的免责条款的规定。</w:t>
      </w:r>
    </w:p>
    <w:p>
      <w:pPr>
        <w:pStyle w:val="4"/>
        <w:ind w:firstLine="602"/>
        <w:rPr>
          <w:rFonts w:ascii="仿宋_GB2312" w:hAnsi="仿宋_GB2312" w:cs="仿宋_GB2312"/>
        </w:rPr>
      </w:pPr>
      <w:bookmarkStart w:id="648" w:name="_Toc373715157"/>
      <w:bookmarkStart w:id="649" w:name="_Toc4617"/>
      <w:bookmarkStart w:id="650" w:name="_Toc13796"/>
      <w:bookmarkStart w:id="651" w:name="_Toc19740"/>
      <w:bookmarkStart w:id="652" w:name="_Toc19167"/>
      <w:bookmarkStart w:id="653" w:name="_Toc22852"/>
      <w:bookmarkStart w:id="654" w:name="_Toc21478"/>
      <w:bookmarkStart w:id="655" w:name="_Toc1955240695"/>
      <w:bookmarkStart w:id="656" w:name="_Toc109809395"/>
      <w:bookmarkStart w:id="657" w:name="_Toc29799"/>
      <w:bookmarkStart w:id="658" w:name="_Toc27300"/>
      <w:bookmarkStart w:id="659" w:name="_Toc1674729008"/>
      <w:bookmarkStart w:id="660" w:name="_Toc6557"/>
      <w:r>
        <w:rPr>
          <w:rFonts w:hint="eastAsia" w:ascii="仿宋_GB2312" w:hAnsi="仿宋_GB2312" w:cs="仿宋_GB2312"/>
        </w:rPr>
        <w:t>4</w:t>
      </w:r>
      <w:r>
        <w:t>．</w:t>
      </w:r>
      <w:r>
        <w:rPr>
          <w:rFonts w:hint="eastAsia" w:ascii="仿宋_GB2312" w:hAnsi="仿宋_GB2312" w:cs="仿宋_GB2312"/>
        </w:rPr>
        <w:t>《证券基金期货经营机构投资者投诉处理工作指引（试行）》（2021年5月15日发布并施行）</w:t>
      </w:r>
      <w:bookmarkEnd w:id="648"/>
      <w:bookmarkEnd w:id="649"/>
      <w:bookmarkEnd w:id="650"/>
      <w:bookmarkEnd w:id="651"/>
      <w:bookmarkEnd w:id="652"/>
      <w:bookmarkEnd w:id="653"/>
      <w:bookmarkEnd w:id="654"/>
      <w:bookmarkEnd w:id="655"/>
      <w:bookmarkEnd w:id="656"/>
      <w:bookmarkEnd w:id="657"/>
      <w:bookmarkEnd w:id="658"/>
      <w:bookmarkEnd w:id="659"/>
      <w:bookmarkEnd w:id="660"/>
    </w:p>
    <w:p>
      <w:pPr>
        <w:spacing w:line="240" w:lineRule="atLeast"/>
        <w:ind w:firstLine="600" w:firstLineChars="200"/>
        <w:rPr>
          <w:rFonts w:ascii="Times New Roman" w:eastAsia="仿宋_GB2312"/>
          <w:color w:val="000000"/>
          <w:sz w:val="30"/>
          <w:szCs w:val="30"/>
        </w:rPr>
      </w:pPr>
      <w:r>
        <w:rPr>
          <w:rFonts w:hint="eastAsia" w:ascii="Times New Roman" w:eastAsia="仿宋_GB2312"/>
          <w:color w:val="000000"/>
          <w:sz w:val="30"/>
          <w:szCs w:val="30"/>
        </w:rPr>
        <w:t>熟悉投资者投诉的受理、处理相关规定；熟悉投资者投诉处理工作制度相关规定。</w:t>
      </w:r>
    </w:p>
    <w:p>
      <w:pPr>
        <w:pStyle w:val="2"/>
        <w:spacing w:before="312" w:after="312"/>
        <w:rPr>
          <w:rFonts w:hint="default"/>
          <w:lang w:val="zh-CN"/>
        </w:rPr>
      </w:pPr>
      <w:bookmarkStart w:id="661" w:name="_Toc30732"/>
      <w:bookmarkStart w:id="662" w:name="_Toc1086894444"/>
      <w:bookmarkStart w:id="663" w:name="_Toc49599863"/>
      <w:bookmarkStart w:id="664" w:name="_Toc1010"/>
      <w:bookmarkStart w:id="665" w:name="_Toc26846"/>
      <w:bookmarkStart w:id="666" w:name="_Toc6084"/>
      <w:bookmarkStart w:id="667" w:name="_Toc30083"/>
      <w:bookmarkStart w:id="668" w:name="_Toc32616"/>
      <w:bookmarkStart w:id="669" w:name="_Toc109809396"/>
      <w:bookmarkStart w:id="670" w:name="_Toc16316"/>
      <w:bookmarkStart w:id="671" w:name="_Toc267151512"/>
      <w:bookmarkStart w:id="672" w:name="_Toc5006"/>
      <w:bookmarkStart w:id="673" w:name="_Toc14295"/>
      <w:r>
        <w:rPr>
          <w:lang w:val="zh-CN"/>
        </w:rPr>
        <w:t>第三部分 行业文化、职业道德与从业人员行为规范类</w:t>
      </w:r>
      <w:bookmarkEnd w:id="661"/>
      <w:bookmarkEnd w:id="662"/>
      <w:bookmarkEnd w:id="663"/>
      <w:bookmarkEnd w:id="664"/>
      <w:bookmarkEnd w:id="665"/>
      <w:bookmarkEnd w:id="666"/>
      <w:bookmarkEnd w:id="667"/>
      <w:bookmarkEnd w:id="668"/>
      <w:bookmarkEnd w:id="669"/>
      <w:bookmarkEnd w:id="670"/>
      <w:bookmarkEnd w:id="671"/>
      <w:bookmarkEnd w:id="672"/>
      <w:bookmarkEnd w:id="673"/>
    </w:p>
    <w:p>
      <w:pPr>
        <w:pStyle w:val="3"/>
        <w:ind w:firstLine="602"/>
        <w:rPr>
          <w:rFonts w:hint="default" w:ascii="Times New Roman" w:hAnsi="Times New Roman"/>
          <w:color w:val="000000"/>
          <w:szCs w:val="30"/>
        </w:rPr>
      </w:pPr>
      <w:bookmarkStart w:id="674" w:name="_Toc13360"/>
      <w:bookmarkStart w:id="675" w:name="_Toc1573222561"/>
      <w:bookmarkStart w:id="676" w:name="_Toc1814570514"/>
      <w:bookmarkStart w:id="677" w:name="_Toc30650"/>
      <w:bookmarkStart w:id="678" w:name="_Toc22858"/>
      <w:bookmarkStart w:id="679" w:name="_Toc14149"/>
      <w:bookmarkStart w:id="680" w:name="_Toc109809397"/>
      <w:bookmarkStart w:id="681" w:name="_Toc17879"/>
      <w:bookmarkStart w:id="682" w:name="_Toc29183"/>
      <w:bookmarkStart w:id="683" w:name="_Toc4168"/>
      <w:bookmarkStart w:id="684" w:name="_Toc1981115976"/>
      <w:bookmarkStart w:id="685" w:name="_Toc29954"/>
      <w:bookmarkStart w:id="686" w:name="_Toc31297"/>
      <w:r>
        <w:rPr>
          <w:rFonts w:ascii="仿宋_GB2312" w:hAnsi="仿宋_GB2312" w:cs="仿宋_GB2312"/>
        </w:rPr>
        <w:t>（一）</w:t>
      </w:r>
      <w:r>
        <w:rPr>
          <w:rFonts w:ascii="Times New Roman" w:hAnsi="Times New Roman"/>
          <w:color w:val="000000"/>
          <w:szCs w:val="30"/>
        </w:rPr>
        <w:t>行业文化建设</w:t>
      </w:r>
      <w:bookmarkEnd w:id="674"/>
      <w:bookmarkEnd w:id="675"/>
      <w:bookmarkEnd w:id="676"/>
      <w:bookmarkEnd w:id="677"/>
      <w:bookmarkEnd w:id="678"/>
      <w:bookmarkEnd w:id="679"/>
      <w:bookmarkEnd w:id="680"/>
      <w:bookmarkEnd w:id="681"/>
      <w:bookmarkEnd w:id="682"/>
      <w:bookmarkEnd w:id="683"/>
      <w:bookmarkEnd w:id="684"/>
      <w:bookmarkEnd w:id="685"/>
      <w:bookmarkEnd w:id="686"/>
    </w:p>
    <w:p>
      <w:pPr>
        <w:pStyle w:val="4"/>
        <w:ind w:firstLine="602"/>
        <w:rPr>
          <w:rFonts w:ascii="仿宋_GB2312" w:hAnsi="仿宋_GB2312" w:cs="仿宋_GB2312"/>
        </w:rPr>
      </w:pPr>
      <w:bookmarkStart w:id="687" w:name="_Toc8096"/>
      <w:bookmarkStart w:id="688" w:name="_Toc22953"/>
      <w:bookmarkStart w:id="689" w:name="_Toc4211"/>
      <w:bookmarkStart w:id="690" w:name="_Toc1732639801"/>
      <w:bookmarkStart w:id="691" w:name="_Toc22762"/>
      <w:bookmarkStart w:id="692" w:name="_Toc1248750587"/>
      <w:bookmarkStart w:id="693" w:name="_Toc1576"/>
      <w:bookmarkStart w:id="694" w:name="_Toc1982660718"/>
      <w:bookmarkStart w:id="695" w:name="_Toc15688"/>
      <w:bookmarkStart w:id="696" w:name="_Toc23232"/>
      <w:bookmarkStart w:id="697" w:name="_Toc109809398"/>
      <w:bookmarkStart w:id="698" w:name="_Toc22471"/>
      <w:bookmarkStart w:id="699" w:name="_Toc11413"/>
      <w:r>
        <w:rPr>
          <w:rFonts w:hint="eastAsia" w:ascii="仿宋_GB2312" w:hAnsi="仿宋_GB2312" w:cs="仿宋_GB2312"/>
        </w:rPr>
        <w:t>1</w:t>
      </w:r>
      <w:r>
        <w:t>．</w:t>
      </w:r>
      <w:r>
        <w:rPr>
          <w:rFonts w:hint="eastAsia" w:ascii="仿宋_GB2312" w:hAnsi="仿宋_GB2312" w:cs="仿宋_GB2312"/>
        </w:rPr>
        <w:t>《建设证券基金行业文化、防范道德风险工作纲要（节选）》（2019年8月28日发布并</w:t>
      </w:r>
      <w:r>
        <w:rPr>
          <w:rFonts w:hint="eastAsia" w:ascii="仿宋_GB2312" w:hAnsi="仿宋_GB2312" w:cs="仿宋_GB2312"/>
          <w:lang w:eastAsia="zh-CN"/>
        </w:rPr>
        <w:t>施行</w:t>
      </w:r>
      <w:r>
        <w:rPr>
          <w:rFonts w:hint="eastAsia" w:ascii="仿宋_GB2312" w:hAnsi="仿宋_GB2312" w:cs="仿宋_GB2312"/>
        </w:rPr>
        <w:t>）</w:t>
      </w:r>
      <w:bookmarkEnd w:id="687"/>
      <w:bookmarkEnd w:id="688"/>
      <w:bookmarkEnd w:id="689"/>
      <w:bookmarkEnd w:id="690"/>
      <w:bookmarkEnd w:id="691"/>
      <w:bookmarkEnd w:id="692"/>
      <w:bookmarkEnd w:id="693"/>
      <w:bookmarkEnd w:id="694"/>
      <w:bookmarkEnd w:id="695"/>
      <w:bookmarkEnd w:id="696"/>
      <w:bookmarkEnd w:id="697"/>
      <w:bookmarkEnd w:id="698"/>
      <w:bookmarkEnd w:id="699"/>
    </w:p>
    <w:p>
      <w:pPr>
        <w:pStyle w:val="8"/>
        <w:ind w:firstLine="594" w:firstLineChars="198"/>
        <w:rPr>
          <w:rFonts w:ascii="Times New Roman" w:hAnsi="Times New Roman" w:eastAsia="仿宋_GB2312"/>
          <w:bCs/>
          <w:color w:val="000000"/>
          <w:szCs w:val="30"/>
        </w:rPr>
      </w:pPr>
      <w:r>
        <w:rPr>
          <w:rFonts w:hint="eastAsia" w:ascii="Times New Roman" w:hAnsi="Times New Roman" w:eastAsia="仿宋_GB2312"/>
          <w:bCs/>
          <w:color w:val="000000"/>
          <w:szCs w:val="30"/>
        </w:rPr>
        <w:t>掌握加强证券行业文化建设的总体目标；掌握证券行业“合规、诚信、专业、稳健”行业文化的内涵；掌握加强证券行业文化建设的总体方案。</w:t>
      </w:r>
    </w:p>
    <w:p>
      <w:pPr>
        <w:pStyle w:val="4"/>
        <w:ind w:firstLine="602"/>
        <w:rPr>
          <w:rFonts w:ascii="仿宋_GB2312" w:hAnsi="仿宋_GB2312" w:cs="仿宋_GB2312"/>
        </w:rPr>
      </w:pPr>
      <w:bookmarkStart w:id="700" w:name="_Toc27032"/>
      <w:bookmarkStart w:id="701" w:name="_Toc109809399"/>
      <w:bookmarkStart w:id="702" w:name="_Toc27278"/>
      <w:bookmarkStart w:id="703" w:name="_Toc16417"/>
      <w:bookmarkStart w:id="704" w:name="_Toc3957"/>
      <w:bookmarkStart w:id="705" w:name="_Toc28845"/>
      <w:bookmarkStart w:id="706" w:name="_Toc13102"/>
      <w:bookmarkStart w:id="707" w:name="_Toc28998"/>
      <w:bookmarkStart w:id="708" w:name="_Toc194581615"/>
      <w:bookmarkStart w:id="709" w:name="_Toc28862"/>
      <w:bookmarkStart w:id="710" w:name="_Toc1217711996"/>
      <w:bookmarkStart w:id="711" w:name="_Toc7123"/>
      <w:bookmarkStart w:id="712" w:name="_Toc292980125"/>
      <w:r>
        <w:rPr>
          <w:rFonts w:hint="eastAsia" w:ascii="仿宋_GB2312" w:hAnsi="仿宋_GB2312" w:cs="仿宋_GB2312"/>
        </w:rPr>
        <w:t>2</w:t>
      </w:r>
      <w:r>
        <w:t>．</w:t>
      </w:r>
      <w:r>
        <w:rPr>
          <w:rFonts w:hint="eastAsia" w:ascii="仿宋_GB2312" w:hAnsi="仿宋_GB2312" w:cs="仿宋_GB2312"/>
        </w:rPr>
        <w:t>《证券行业文化建设十要素》（2021年2月28日发布并施行）</w:t>
      </w:r>
      <w:bookmarkEnd w:id="700"/>
      <w:bookmarkEnd w:id="701"/>
      <w:bookmarkEnd w:id="702"/>
      <w:bookmarkEnd w:id="703"/>
      <w:bookmarkEnd w:id="704"/>
      <w:bookmarkEnd w:id="705"/>
      <w:bookmarkEnd w:id="706"/>
      <w:bookmarkEnd w:id="707"/>
      <w:bookmarkEnd w:id="708"/>
      <w:bookmarkEnd w:id="709"/>
      <w:bookmarkEnd w:id="710"/>
      <w:bookmarkEnd w:id="711"/>
      <w:bookmarkEnd w:id="712"/>
    </w:p>
    <w:p>
      <w:pPr>
        <w:pStyle w:val="8"/>
        <w:ind w:firstLine="594" w:firstLineChars="198"/>
        <w:rPr>
          <w:rFonts w:ascii="Times New Roman" w:hAnsi="Times New Roman" w:eastAsia="仿宋_GB2312"/>
          <w:bCs/>
          <w:color w:val="000000"/>
          <w:szCs w:val="30"/>
        </w:rPr>
      </w:pPr>
      <w:r>
        <w:rPr>
          <w:rFonts w:hint="eastAsia" w:ascii="Times New Roman" w:hAnsi="Times New Roman" w:eastAsia="仿宋_GB2312"/>
          <w:bCs/>
          <w:color w:val="000000"/>
          <w:szCs w:val="30"/>
        </w:rPr>
        <w:t>熟悉证券行业文化建设的指导思想、基本原则；掌握证券行业文化建设三个层次十个方面的关键要素的内容。</w:t>
      </w:r>
    </w:p>
    <w:p>
      <w:pPr>
        <w:pStyle w:val="4"/>
        <w:ind w:firstLine="602"/>
        <w:rPr>
          <w:rFonts w:ascii="仿宋_GB2312" w:hAnsi="仿宋_GB2312" w:cs="仿宋_GB2312"/>
        </w:rPr>
      </w:pPr>
      <w:bookmarkStart w:id="713" w:name="_Toc31825"/>
      <w:bookmarkStart w:id="714" w:name="_Toc686659236"/>
      <w:bookmarkStart w:id="715" w:name="_Toc694413376"/>
      <w:bookmarkStart w:id="716" w:name="_Toc856"/>
      <w:bookmarkStart w:id="717" w:name="_Toc22198"/>
      <w:bookmarkStart w:id="718" w:name="_Toc24704"/>
      <w:bookmarkStart w:id="719" w:name="_Toc9783"/>
      <w:bookmarkStart w:id="720" w:name="_Toc25625"/>
      <w:bookmarkStart w:id="721" w:name="_Toc17470"/>
      <w:bookmarkStart w:id="722" w:name="_Toc339066931"/>
      <w:bookmarkStart w:id="723" w:name="_Toc5313"/>
      <w:bookmarkStart w:id="724" w:name="_Toc16544"/>
      <w:bookmarkStart w:id="725" w:name="_Toc109809400"/>
      <w:r>
        <w:rPr>
          <w:rFonts w:hint="eastAsia" w:ascii="仿宋_GB2312" w:hAnsi="仿宋_GB2312" w:cs="仿宋_GB2312"/>
        </w:rPr>
        <w:t>3</w:t>
      </w:r>
      <w:r>
        <w:t>．</w:t>
      </w:r>
      <w:r>
        <w:rPr>
          <w:rFonts w:hint="eastAsia" w:ascii="仿宋_GB2312" w:hAnsi="仿宋_GB2312" w:cs="仿宋_GB2312"/>
        </w:rPr>
        <w:t>《证券公司文化建设实践评估办法（试行）》（2022年4月25日发布并施行）</w:t>
      </w:r>
      <w:bookmarkEnd w:id="713"/>
      <w:bookmarkEnd w:id="714"/>
      <w:bookmarkEnd w:id="715"/>
      <w:bookmarkEnd w:id="716"/>
      <w:bookmarkEnd w:id="717"/>
      <w:bookmarkEnd w:id="718"/>
      <w:bookmarkEnd w:id="719"/>
      <w:bookmarkEnd w:id="720"/>
      <w:bookmarkEnd w:id="721"/>
      <w:bookmarkEnd w:id="722"/>
      <w:bookmarkEnd w:id="723"/>
      <w:bookmarkEnd w:id="724"/>
      <w:bookmarkEnd w:id="725"/>
    </w:p>
    <w:p>
      <w:pPr>
        <w:pStyle w:val="8"/>
        <w:ind w:firstLine="594" w:firstLineChars="198"/>
        <w:rPr>
          <w:rFonts w:ascii="仿宋_GB2312" w:hAnsi="Times New Roman" w:eastAsia="仿宋_GB2312"/>
          <w:bCs/>
          <w:color w:val="000000"/>
          <w:szCs w:val="30"/>
        </w:rPr>
      </w:pPr>
      <w:r>
        <w:rPr>
          <w:rFonts w:hint="eastAsia" w:ascii="仿宋_GB2312" w:hAnsi="Times New Roman" w:eastAsia="仿宋_GB2312"/>
          <w:bCs/>
          <w:color w:val="000000"/>
          <w:szCs w:val="30"/>
        </w:rPr>
        <w:t>了解证券公司文化建设实践评估的主体责任、专家评审机制等内容；熟悉证券公司文化建设实践评估指标、评估计分的规定；掌握证券公司文化建设实践评估结果的规定；了解证券公司文化建设实践评估组织实施与结果运用的规定。</w:t>
      </w:r>
    </w:p>
    <w:p>
      <w:pPr>
        <w:pStyle w:val="3"/>
        <w:ind w:firstLine="602"/>
        <w:rPr>
          <w:rFonts w:hint="default"/>
        </w:rPr>
      </w:pPr>
      <w:bookmarkStart w:id="726" w:name="_Toc1794175260"/>
      <w:bookmarkStart w:id="727" w:name="_Toc5944"/>
      <w:bookmarkStart w:id="728" w:name="_Toc109809401"/>
      <w:bookmarkStart w:id="729" w:name="_Toc2037234415"/>
      <w:bookmarkStart w:id="730" w:name="_Toc32211"/>
      <w:bookmarkStart w:id="731" w:name="_Toc7346"/>
      <w:bookmarkStart w:id="732" w:name="_Toc31595"/>
      <w:bookmarkStart w:id="733" w:name="_Toc992"/>
      <w:bookmarkStart w:id="734" w:name="_Toc24239"/>
      <w:bookmarkStart w:id="735" w:name="_Toc29914"/>
      <w:bookmarkStart w:id="736" w:name="_Toc4775"/>
      <w:bookmarkStart w:id="737" w:name="_Toc21167"/>
      <w:bookmarkStart w:id="738" w:name="_Toc1219753767"/>
      <w:r>
        <w:t>（二）从业人员管理与职业道德</w:t>
      </w:r>
      <w:bookmarkEnd w:id="726"/>
      <w:bookmarkEnd w:id="727"/>
      <w:bookmarkEnd w:id="728"/>
      <w:bookmarkEnd w:id="729"/>
      <w:bookmarkEnd w:id="730"/>
      <w:bookmarkEnd w:id="731"/>
      <w:bookmarkEnd w:id="732"/>
      <w:bookmarkEnd w:id="733"/>
      <w:bookmarkEnd w:id="734"/>
      <w:bookmarkEnd w:id="735"/>
      <w:bookmarkEnd w:id="736"/>
      <w:bookmarkEnd w:id="737"/>
      <w:bookmarkEnd w:id="738"/>
    </w:p>
    <w:p>
      <w:pPr>
        <w:pStyle w:val="4"/>
        <w:ind w:firstLine="602"/>
        <w:rPr>
          <w:rFonts w:ascii="仿宋_GB2312" w:hAnsi="仿宋_GB2312" w:cs="仿宋_GB2312"/>
        </w:rPr>
      </w:pPr>
      <w:bookmarkStart w:id="739" w:name="_Toc18405"/>
      <w:bookmarkStart w:id="740" w:name="_Toc11198"/>
      <w:bookmarkStart w:id="741" w:name="_Toc31192"/>
      <w:bookmarkStart w:id="742" w:name="_Toc12633"/>
      <w:bookmarkStart w:id="743" w:name="_Toc109809402"/>
      <w:bookmarkStart w:id="744" w:name="_Toc467951985"/>
      <w:bookmarkStart w:id="745" w:name="_Toc2014454367"/>
      <w:bookmarkStart w:id="746" w:name="_Toc10178"/>
      <w:bookmarkStart w:id="747" w:name="_Toc20603"/>
      <w:bookmarkStart w:id="748" w:name="_Toc13649"/>
      <w:bookmarkStart w:id="749" w:name="_Toc17003"/>
      <w:bookmarkStart w:id="750" w:name="_Toc10901"/>
      <w:bookmarkStart w:id="751" w:name="_Toc1354300088"/>
      <w:r>
        <w:rPr>
          <w:rFonts w:hint="eastAsia" w:ascii="仿宋_GB2312" w:hAnsi="仿宋_GB2312" w:cs="仿宋_GB2312"/>
        </w:rPr>
        <w:t>1</w:t>
      </w:r>
      <w:r>
        <w:t>．</w:t>
      </w:r>
      <w:r>
        <w:rPr>
          <w:rFonts w:hint="eastAsia" w:ascii="仿宋_GB2312" w:hAnsi="仿宋_GB2312" w:cs="仿宋_GB2312"/>
        </w:rPr>
        <w:t>《证券基金经营机构董事、监事、高级管理人员及从业人员监督管理办法》（2022年2月18日公布，2022年4月1日起施行）及《证券公司董事、监事、高级管理人员及从业人员管理规则》（2022年5月10日发布并施行）</w:t>
      </w:r>
      <w:bookmarkEnd w:id="739"/>
      <w:bookmarkEnd w:id="740"/>
      <w:bookmarkEnd w:id="741"/>
      <w:bookmarkEnd w:id="742"/>
      <w:bookmarkEnd w:id="743"/>
      <w:bookmarkEnd w:id="744"/>
      <w:bookmarkEnd w:id="745"/>
      <w:bookmarkEnd w:id="746"/>
      <w:bookmarkEnd w:id="747"/>
      <w:bookmarkEnd w:id="748"/>
      <w:bookmarkEnd w:id="749"/>
      <w:bookmarkEnd w:id="750"/>
      <w:bookmarkEnd w:id="751"/>
    </w:p>
    <w:p>
      <w:pPr>
        <w:pStyle w:val="8"/>
        <w:ind w:firstLine="594" w:firstLineChars="198"/>
        <w:rPr>
          <w:rFonts w:ascii="Times New Roman" w:hAnsi="Times New Roman" w:eastAsia="仿宋_GB2312"/>
          <w:bCs/>
          <w:color w:val="000000"/>
          <w:szCs w:val="30"/>
        </w:rPr>
      </w:pPr>
      <w:r>
        <w:rPr>
          <w:rFonts w:hint="eastAsia" w:ascii="Times New Roman" w:hAnsi="Times New Roman" w:eastAsia="仿宋_GB2312"/>
          <w:bCs/>
          <w:color w:val="000000"/>
          <w:szCs w:val="30"/>
        </w:rPr>
        <w:t>掌握证券公司高级管理人员和从业人员的范围；掌握证券公司聘任董事、监事、高级管理人员、分支机构负责人备案的规定；掌握证券公司董事、监事和高级管理人员任职管理的规定；熟悉董事、监事、高级管理人员及从业人员应当遵守的执业行为规范及禁止性行为；熟悉有关董事、监事、高级管理人员、部门负责人、分支机构负责人兼职和从事其他经营性活动的规定；熟悉证券公司董事、监事、高级管理人员及从业人员授权其他人员代为履行职责的相关规定；熟悉证券公司董事、监事、高级管理人员及从业人员信息公示的规定；掌握证券公司董事、监事和高级管理人员的聘任、解聘程序；掌握证券公司激励约束机制、内部问责机制相关规定；掌握证券公司董事、监事、高级管理人员及从业人员违反本办法及相关规定的监督管理措施和法律责任；了解有关董事长、高级管理人员、分支机构负责人离任审计的规定；熟悉证券公司对董事、监事、高级管理人员及从业人员管理责任的规定；了解中国证券业协会对违反相关规定的证券公司及其董事、监事、高级管理人员及从业人员采取自律管理措施、纪律处分的规定。</w:t>
      </w:r>
    </w:p>
    <w:p>
      <w:pPr>
        <w:pStyle w:val="4"/>
        <w:ind w:firstLine="602"/>
        <w:rPr>
          <w:rFonts w:ascii="仿宋_GB2312" w:hAnsi="仿宋_GB2312" w:cs="仿宋_GB2312"/>
        </w:rPr>
      </w:pPr>
      <w:bookmarkStart w:id="752" w:name="_Toc1280624114"/>
      <w:bookmarkStart w:id="753" w:name="_Toc154401476"/>
      <w:bookmarkStart w:id="754" w:name="_Toc29842"/>
      <w:bookmarkStart w:id="755" w:name="_Toc20909"/>
      <w:bookmarkStart w:id="756" w:name="_Toc14087"/>
      <w:bookmarkStart w:id="757" w:name="_Toc1948"/>
      <w:bookmarkStart w:id="758" w:name="_Toc109809403"/>
      <w:bookmarkStart w:id="759" w:name="_Toc23661"/>
      <w:bookmarkStart w:id="760" w:name="_Toc12336"/>
      <w:bookmarkStart w:id="761" w:name="_Toc6253"/>
      <w:bookmarkStart w:id="762" w:name="_Toc5783"/>
      <w:bookmarkStart w:id="763" w:name="_Toc1866941658"/>
      <w:bookmarkStart w:id="764" w:name="_Toc5317"/>
      <w:r>
        <w:rPr>
          <w:rFonts w:hint="eastAsia" w:ascii="仿宋_GB2312" w:hAnsi="仿宋_GB2312" w:cs="仿宋_GB2312"/>
        </w:rPr>
        <w:t>2</w:t>
      </w:r>
      <w:r>
        <w:t>．</w:t>
      </w:r>
      <w:r>
        <w:rPr>
          <w:rFonts w:hint="eastAsia" w:ascii="仿宋_GB2312" w:hAnsi="仿宋_GB2312" w:cs="仿宋_GB2312"/>
        </w:rPr>
        <w:t>《证券市场禁入规定》（2021年6月15日</w:t>
      </w:r>
      <w:r>
        <w:rPr>
          <w:rFonts w:hint="eastAsia" w:ascii="仿宋_GB2312" w:hAnsi="仿宋_GB2312" w:cs="仿宋_GB2312"/>
          <w:lang w:eastAsia="zh-CN"/>
        </w:rPr>
        <w:t>公布</w:t>
      </w:r>
      <w:r>
        <w:rPr>
          <w:rFonts w:hint="eastAsia" w:ascii="仿宋_GB2312" w:hAnsi="仿宋_GB2312" w:cs="仿宋_GB2312"/>
        </w:rPr>
        <w:t>，2021年7月19日起施行）</w:t>
      </w:r>
      <w:bookmarkEnd w:id="752"/>
      <w:bookmarkEnd w:id="753"/>
      <w:bookmarkEnd w:id="754"/>
      <w:bookmarkEnd w:id="755"/>
      <w:bookmarkEnd w:id="756"/>
      <w:bookmarkEnd w:id="757"/>
      <w:bookmarkEnd w:id="758"/>
      <w:bookmarkEnd w:id="759"/>
      <w:bookmarkEnd w:id="760"/>
      <w:bookmarkEnd w:id="761"/>
      <w:bookmarkEnd w:id="762"/>
      <w:bookmarkEnd w:id="763"/>
      <w:bookmarkEnd w:id="764"/>
    </w:p>
    <w:p>
      <w:pPr>
        <w:ind w:firstLine="600" w:firstLineChars="200"/>
        <w:rPr>
          <w:rFonts w:ascii="Times New Roman" w:hAnsi="Times New Roman" w:eastAsia="仿宋_GB2312"/>
          <w:bCs/>
          <w:color w:val="000000"/>
          <w:szCs w:val="30"/>
        </w:rPr>
      </w:pPr>
      <w:r>
        <w:rPr>
          <w:rFonts w:ascii="Times New Roman" w:eastAsia="仿宋_GB2312"/>
          <w:color w:val="000000"/>
          <w:sz w:val="30"/>
          <w:szCs w:val="30"/>
        </w:rPr>
        <w:t>熟悉关于中国证监会可以采取证券市场禁入措施的人员和情形的规定；</w:t>
      </w:r>
      <w:r>
        <w:rPr>
          <w:rFonts w:hint="eastAsia" w:ascii="Times New Roman" w:eastAsia="仿宋_GB2312"/>
          <w:color w:val="000000"/>
          <w:sz w:val="30"/>
          <w:szCs w:val="30"/>
        </w:rPr>
        <w:t>熟悉中国证监会及其派出机构可以采取市场禁入的种类；</w:t>
      </w:r>
      <w:r>
        <w:rPr>
          <w:rFonts w:ascii="Times New Roman" w:eastAsia="仿宋_GB2312"/>
          <w:color w:val="000000"/>
          <w:sz w:val="30"/>
          <w:szCs w:val="30"/>
        </w:rPr>
        <w:t>掌握关于市场禁入人员在禁入期间不得从事证券业务或担任相关职务的规定；了解对有关责任人员采取不同年限禁入措施的情形；了解对有关责任人员可以单独采取禁入措施或一并进行行政处罚或移送</w:t>
      </w:r>
      <w:r>
        <w:rPr>
          <w:rFonts w:hint="eastAsia" w:ascii="Times New Roman" w:eastAsia="仿宋_GB2312"/>
          <w:color w:val="000000"/>
          <w:sz w:val="30"/>
          <w:szCs w:val="30"/>
        </w:rPr>
        <w:t>有关部门</w:t>
      </w:r>
      <w:r>
        <w:rPr>
          <w:rFonts w:ascii="Times New Roman" w:eastAsia="仿宋_GB2312"/>
          <w:color w:val="000000"/>
          <w:sz w:val="30"/>
          <w:szCs w:val="30"/>
        </w:rPr>
        <w:t>的规定；了解可以对有关责任人员从轻、减轻或免于采取禁入措施情形的规定。</w:t>
      </w:r>
    </w:p>
    <w:p>
      <w:pPr>
        <w:pStyle w:val="4"/>
        <w:ind w:firstLine="602"/>
        <w:rPr>
          <w:rFonts w:ascii="仿宋_GB2312" w:hAnsi="仿宋_GB2312" w:cs="仿宋_GB2312"/>
        </w:rPr>
      </w:pPr>
      <w:bookmarkStart w:id="765" w:name="_Toc27933"/>
      <w:bookmarkStart w:id="766" w:name="_Toc29318"/>
      <w:bookmarkStart w:id="767" w:name="_Toc10431"/>
      <w:bookmarkStart w:id="768" w:name="_Toc4549"/>
      <w:bookmarkStart w:id="769" w:name="_Toc12362"/>
      <w:bookmarkStart w:id="770" w:name="_Toc30260"/>
      <w:bookmarkStart w:id="771" w:name="_Toc1316643798"/>
      <w:bookmarkStart w:id="772" w:name="_Toc922799892"/>
      <w:bookmarkStart w:id="773" w:name="_Toc1836616974"/>
      <w:bookmarkStart w:id="774" w:name="_Toc25744"/>
      <w:bookmarkStart w:id="775" w:name="_Toc109809404"/>
      <w:bookmarkStart w:id="776" w:name="_Toc14465"/>
      <w:bookmarkStart w:id="777" w:name="_Toc17098"/>
      <w:r>
        <w:rPr>
          <w:rFonts w:hint="eastAsia" w:ascii="仿宋_GB2312" w:hAnsi="仿宋_GB2312" w:cs="仿宋_GB2312"/>
        </w:rPr>
        <w:t>3</w:t>
      </w:r>
      <w:r>
        <w:t>．</w:t>
      </w:r>
      <w:r>
        <w:rPr>
          <w:rFonts w:hint="eastAsia" w:ascii="仿宋_GB2312" w:hAnsi="仿宋_GB2312" w:cs="仿宋_GB2312"/>
        </w:rPr>
        <w:t>《证券从业人员职业道德准则》（202</w:t>
      </w:r>
      <w:r>
        <w:rPr>
          <w:rFonts w:hint="eastAsia" w:ascii="仿宋_GB2312" w:hAnsi="仿宋_GB2312" w:cs="仿宋_GB2312"/>
          <w:lang w:val="en-US" w:eastAsia="zh-CN"/>
        </w:rPr>
        <w:t>4</w:t>
      </w:r>
      <w:r>
        <w:rPr>
          <w:rFonts w:hint="eastAsia" w:ascii="仿宋_GB2312" w:hAnsi="仿宋_GB2312" w:cs="仿宋_GB2312"/>
        </w:rPr>
        <w:t>年</w:t>
      </w:r>
      <w:r>
        <w:rPr>
          <w:rFonts w:hint="eastAsia" w:ascii="仿宋_GB2312" w:hAnsi="仿宋_GB2312" w:cs="仿宋_GB2312"/>
          <w:lang w:val="en-US" w:eastAsia="zh-CN"/>
        </w:rPr>
        <w:t>9</w:t>
      </w:r>
      <w:r>
        <w:rPr>
          <w:rFonts w:hint="eastAsia" w:ascii="仿宋_GB2312" w:hAnsi="仿宋_GB2312" w:cs="仿宋_GB2312"/>
        </w:rPr>
        <w:t>月</w:t>
      </w:r>
      <w:r>
        <w:rPr>
          <w:rFonts w:hint="eastAsia" w:ascii="仿宋_GB2312" w:hAnsi="仿宋_GB2312" w:cs="仿宋_GB2312"/>
          <w:lang w:val="en-US" w:eastAsia="zh-CN"/>
        </w:rPr>
        <w:t>2</w:t>
      </w:r>
      <w:r>
        <w:rPr>
          <w:rFonts w:hint="eastAsia" w:ascii="仿宋_GB2312" w:hAnsi="仿宋_GB2312" w:cs="仿宋_GB2312"/>
        </w:rPr>
        <w:t>日发布并</w:t>
      </w:r>
      <w:r>
        <w:rPr>
          <w:rFonts w:hint="eastAsia" w:ascii="仿宋_GB2312" w:hAnsi="仿宋_GB2312" w:cs="仿宋_GB2312"/>
          <w:lang w:eastAsia="zh-CN"/>
        </w:rPr>
        <w:t>施行</w:t>
      </w:r>
      <w:r>
        <w:rPr>
          <w:rFonts w:hint="eastAsia" w:ascii="仿宋_GB2312" w:hAnsi="仿宋_GB2312" w:cs="仿宋_GB2312"/>
        </w:rPr>
        <w:t>）</w:t>
      </w:r>
      <w:bookmarkEnd w:id="765"/>
      <w:bookmarkEnd w:id="766"/>
      <w:bookmarkEnd w:id="767"/>
      <w:bookmarkEnd w:id="768"/>
      <w:bookmarkEnd w:id="769"/>
      <w:bookmarkEnd w:id="770"/>
      <w:bookmarkEnd w:id="771"/>
      <w:bookmarkEnd w:id="772"/>
      <w:bookmarkEnd w:id="773"/>
      <w:bookmarkEnd w:id="774"/>
      <w:bookmarkEnd w:id="775"/>
      <w:bookmarkEnd w:id="776"/>
      <w:bookmarkEnd w:id="777"/>
    </w:p>
    <w:p>
      <w:pPr>
        <w:pStyle w:val="8"/>
        <w:ind w:firstLine="594" w:firstLineChars="198"/>
        <w:rPr>
          <w:rFonts w:ascii="Times New Roman" w:hAnsi="Times New Roman" w:eastAsia="仿宋_GB2312"/>
          <w:bCs/>
          <w:color w:val="000000"/>
          <w:szCs w:val="30"/>
        </w:rPr>
      </w:pPr>
      <w:r>
        <w:rPr>
          <w:rFonts w:hint="eastAsia" w:ascii="Times New Roman" w:hAnsi="Times New Roman" w:eastAsia="仿宋_GB2312"/>
          <w:bCs/>
          <w:color w:val="000000"/>
          <w:szCs w:val="30"/>
        </w:rPr>
        <w:t>掌握证券从业人员职业道德的基本要求。</w:t>
      </w:r>
    </w:p>
    <w:p>
      <w:pPr>
        <w:pStyle w:val="3"/>
        <w:ind w:firstLine="602"/>
        <w:rPr>
          <w:rFonts w:hint="default"/>
        </w:rPr>
      </w:pPr>
      <w:bookmarkStart w:id="778" w:name="_Toc16736"/>
      <w:bookmarkStart w:id="779" w:name="_Toc25337"/>
      <w:bookmarkStart w:id="780" w:name="_Toc26113"/>
      <w:bookmarkStart w:id="781" w:name="_Toc19647"/>
      <w:bookmarkStart w:id="782" w:name="_Toc15598"/>
      <w:bookmarkStart w:id="783" w:name="_Toc1462993602"/>
      <w:bookmarkStart w:id="784" w:name="_Toc12263"/>
      <w:bookmarkStart w:id="785" w:name="_Toc109809405"/>
      <w:bookmarkStart w:id="786" w:name="_Toc261252784"/>
      <w:bookmarkStart w:id="787" w:name="_Toc11300"/>
      <w:bookmarkStart w:id="788" w:name="_Toc10663"/>
      <w:bookmarkStart w:id="789" w:name="_Toc20106"/>
      <w:bookmarkStart w:id="790" w:name="_Toc1929521296"/>
      <w:r>
        <w:t>（三）廉洁从业与诚信管理</w:t>
      </w:r>
      <w:bookmarkEnd w:id="778"/>
      <w:bookmarkEnd w:id="779"/>
      <w:bookmarkEnd w:id="780"/>
      <w:bookmarkEnd w:id="781"/>
      <w:bookmarkEnd w:id="782"/>
      <w:bookmarkEnd w:id="783"/>
      <w:bookmarkEnd w:id="784"/>
      <w:bookmarkEnd w:id="785"/>
      <w:bookmarkEnd w:id="786"/>
      <w:bookmarkEnd w:id="787"/>
      <w:bookmarkEnd w:id="788"/>
      <w:bookmarkEnd w:id="789"/>
      <w:bookmarkEnd w:id="790"/>
    </w:p>
    <w:p>
      <w:pPr>
        <w:pStyle w:val="4"/>
        <w:ind w:firstLine="602"/>
        <w:rPr>
          <w:rFonts w:ascii="仿宋_GB2312" w:hAnsi="仿宋_GB2312" w:cs="仿宋_GB2312"/>
        </w:rPr>
      </w:pPr>
      <w:bookmarkStart w:id="791" w:name="_Toc1504665543"/>
      <w:bookmarkStart w:id="792" w:name="_Toc22761"/>
      <w:bookmarkStart w:id="793" w:name="_Toc592946167"/>
      <w:bookmarkStart w:id="794" w:name="_Toc24065"/>
      <w:bookmarkStart w:id="795" w:name="_Toc24553"/>
      <w:bookmarkStart w:id="796" w:name="_Toc19028"/>
      <w:bookmarkStart w:id="797" w:name="_Toc9318"/>
      <w:bookmarkStart w:id="798" w:name="_Toc109809406"/>
      <w:bookmarkStart w:id="799" w:name="_Toc20030"/>
      <w:bookmarkStart w:id="800" w:name="_Toc14221"/>
      <w:bookmarkStart w:id="801" w:name="_Toc7171"/>
      <w:bookmarkStart w:id="802" w:name="_Toc6860"/>
      <w:bookmarkStart w:id="803" w:name="_Toc280050639"/>
      <w:r>
        <w:rPr>
          <w:rFonts w:hint="eastAsia" w:ascii="仿宋_GB2312" w:hAnsi="仿宋_GB2312" w:cs="仿宋_GB2312"/>
        </w:rPr>
        <w:t>1</w:t>
      </w:r>
      <w:r>
        <w:t>．</w:t>
      </w:r>
      <w:r>
        <w:rPr>
          <w:rFonts w:hint="eastAsia" w:ascii="仿宋_GB2312" w:hAnsi="仿宋_GB2312" w:cs="仿宋_GB2312"/>
        </w:rPr>
        <w:t>《证券期货经营机构及其工作人员廉洁从业规定》（2018年6月27日公布，2022年8月12日</w:t>
      </w:r>
      <w:r>
        <w:rPr>
          <w:rFonts w:ascii="仿宋_GB2312" w:hAnsi="仿宋_GB2312" w:cs="仿宋_GB2312"/>
        </w:rPr>
        <w:t>最新修</w:t>
      </w:r>
      <w:r>
        <w:rPr>
          <w:rFonts w:hint="eastAsia" w:ascii="仿宋_GB2312" w:hAnsi="仿宋_GB2312" w:cs="仿宋_GB2312"/>
          <w:lang w:eastAsia="zh-CN"/>
        </w:rPr>
        <w:t>订</w:t>
      </w:r>
      <w:r>
        <w:rPr>
          <w:rFonts w:hint="eastAsia" w:ascii="仿宋_GB2312" w:hAnsi="仿宋_GB2312" w:cs="仿宋_GB2312"/>
        </w:rPr>
        <w:t>并施行）及《证券经营机构及其工作人员廉洁从业实施细则》（2023年7月21日</w:t>
      </w:r>
      <w:r>
        <w:rPr>
          <w:rFonts w:hint="eastAsia" w:ascii="仿宋_GB2312" w:hAnsi="仿宋_GB2312" w:cs="仿宋_GB2312"/>
          <w:lang w:eastAsia="zh-CN"/>
        </w:rPr>
        <w:t>发布</w:t>
      </w:r>
      <w:r>
        <w:rPr>
          <w:rFonts w:hint="eastAsia" w:ascii="仿宋_GB2312" w:hAnsi="仿宋_GB2312" w:cs="仿宋_GB2312"/>
        </w:rPr>
        <w:t>并施行）</w:t>
      </w:r>
      <w:bookmarkEnd w:id="791"/>
      <w:bookmarkEnd w:id="792"/>
      <w:bookmarkEnd w:id="793"/>
      <w:bookmarkEnd w:id="794"/>
      <w:bookmarkEnd w:id="795"/>
      <w:bookmarkEnd w:id="796"/>
      <w:bookmarkEnd w:id="797"/>
      <w:bookmarkEnd w:id="798"/>
      <w:bookmarkEnd w:id="799"/>
      <w:bookmarkEnd w:id="800"/>
      <w:bookmarkEnd w:id="801"/>
      <w:bookmarkEnd w:id="802"/>
      <w:bookmarkEnd w:id="803"/>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廉洁从业的定义；掌握对证券公司及其工作人员的廉洁从业情况进行监督、检查的规定；掌握证券公司廉洁从业制度体系建设的规定；熟悉证券公司应当将工作人员廉洁从业纳入工作人员管理体系的规定；掌握证券公司及其工作人员廉洁从业的一般禁止性规定及在开展各类业务过程中的禁止性行为；了解证券公司应当履行的廉洁从业报告义务；掌握证券公司开展廉洁从业内部检查、问题整改及责任追究的规定；熟悉证券公司廉洁从业风险防控责任主体的规定；掌握证券公司应当加强对第三方机构或者个人有偿支付管理的规定；熟悉证券公司廉洁从业规范和廉洁文化建设的内容。</w:t>
      </w:r>
    </w:p>
    <w:p>
      <w:pPr>
        <w:pStyle w:val="4"/>
        <w:ind w:firstLine="602"/>
        <w:rPr>
          <w:rFonts w:ascii="仿宋_GB2312" w:hAnsi="仿宋_GB2312" w:cs="仿宋_GB2312"/>
        </w:rPr>
      </w:pPr>
      <w:bookmarkStart w:id="804" w:name="_Toc5298"/>
      <w:bookmarkStart w:id="805" w:name="_Toc26916"/>
      <w:bookmarkStart w:id="806" w:name="_Toc9476"/>
      <w:bookmarkStart w:id="807" w:name="_Toc25252"/>
      <w:bookmarkStart w:id="808" w:name="_Toc7435"/>
      <w:bookmarkStart w:id="809" w:name="_Toc13365190"/>
      <w:bookmarkStart w:id="810" w:name="_Toc11087"/>
      <w:bookmarkStart w:id="811" w:name="_Toc1729030276"/>
      <w:bookmarkStart w:id="812" w:name="_Toc1983057447"/>
      <w:bookmarkStart w:id="813" w:name="_Toc17044"/>
      <w:bookmarkStart w:id="814" w:name="_Toc109809407"/>
      <w:r>
        <w:rPr>
          <w:rFonts w:hint="eastAsia" w:ascii="仿宋_GB2312" w:hAnsi="仿宋_GB2312" w:cs="仿宋_GB2312"/>
        </w:rPr>
        <w:t>2.《关于加强注册制下中介机构廉洁从业监管的意见》（2022年5月31日公布并施行）</w:t>
      </w:r>
      <w:bookmarkEnd w:id="804"/>
      <w:bookmarkEnd w:id="805"/>
      <w:bookmarkEnd w:id="806"/>
      <w:bookmarkEnd w:id="807"/>
      <w:bookmarkEnd w:id="808"/>
      <w:bookmarkEnd w:id="809"/>
      <w:bookmarkEnd w:id="810"/>
      <w:bookmarkEnd w:id="811"/>
      <w:bookmarkEnd w:id="812"/>
      <w:bookmarkEnd w:id="813"/>
      <w:bookmarkEnd w:id="814"/>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证券公司应当建立健全财务管理制度、信息知情人登记管理制度相关规定；熟悉证券公司应当建立科学合理的激励约束机制和内部问责机制相关规定；掌握证券公司应当加强利益冲突审查、投行项目股东穿透等事项核查的相关规定；熟悉证券公司应当遵循中国证监会及交易所有关沟通交往的规定；掌握证券公司应当建立健全投行业务“三道防线”，充分发挥监督制衡作用，严禁违规行为的相关规定。</w:t>
      </w:r>
    </w:p>
    <w:p>
      <w:pPr>
        <w:pStyle w:val="4"/>
        <w:ind w:firstLine="602"/>
        <w:rPr>
          <w:rFonts w:ascii="仿宋_GB2312" w:hAnsi="仿宋_GB2312" w:cs="仿宋_GB2312"/>
        </w:rPr>
      </w:pPr>
      <w:bookmarkStart w:id="815" w:name="_Toc23771"/>
      <w:bookmarkStart w:id="816" w:name="_Toc1806577089"/>
      <w:bookmarkStart w:id="817" w:name="_Toc12791"/>
      <w:bookmarkStart w:id="818" w:name="_Toc1000329707"/>
      <w:bookmarkStart w:id="819" w:name="_Toc20461"/>
      <w:bookmarkStart w:id="820" w:name="_Toc5054"/>
      <w:bookmarkStart w:id="821" w:name="_Toc15162"/>
      <w:bookmarkStart w:id="822" w:name="_Toc1927129025"/>
      <w:bookmarkStart w:id="823" w:name="_Toc17210"/>
      <w:r>
        <w:rPr>
          <w:rFonts w:hint="eastAsia" w:ascii="仿宋_GB2312" w:hAnsi="仿宋_GB2312" w:cs="仿宋_GB2312"/>
        </w:rPr>
        <w:t>3.《关于加强证券公司在投资银行类业务中聘请第三方等廉洁从业风险防控的意见》（2018年6月27日公布并施行）</w:t>
      </w:r>
      <w:bookmarkEnd w:id="815"/>
      <w:bookmarkEnd w:id="816"/>
      <w:bookmarkEnd w:id="817"/>
      <w:bookmarkEnd w:id="818"/>
      <w:bookmarkEnd w:id="819"/>
      <w:bookmarkEnd w:id="820"/>
      <w:bookmarkEnd w:id="821"/>
      <w:bookmarkEnd w:id="822"/>
      <w:bookmarkEnd w:id="823"/>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证券公司应当制定规范聘用第三方的制度，严格履行相关流程，强化对聘请各类第三方行为管控的相关规定；熟悉证券公司在投资银行类业务中聘请第三方的费用支付、信息披露相关规定；了解证券公司应对投资银行类项目的服务对象进行专项核查的规定。</w:t>
      </w:r>
    </w:p>
    <w:p>
      <w:pPr>
        <w:pStyle w:val="4"/>
        <w:ind w:firstLine="602"/>
        <w:rPr>
          <w:rFonts w:ascii="仿宋_GB2312" w:hAnsi="仿宋_GB2312" w:cs="仿宋_GB2312"/>
        </w:rPr>
      </w:pPr>
      <w:bookmarkStart w:id="824" w:name="_Toc5293"/>
      <w:bookmarkStart w:id="825" w:name="_Toc25026"/>
      <w:bookmarkStart w:id="826" w:name="_Toc3577"/>
      <w:bookmarkStart w:id="827" w:name="_Toc4725"/>
      <w:bookmarkStart w:id="828" w:name="_Toc22609"/>
      <w:bookmarkStart w:id="829" w:name="_Toc109809408"/>
      <w:bookmarkStart w:id="830" w:name="_Toc15792"/>
      <w:bookmarkStart w:id="831" w:name="_Toc15763"/>
      <w:bookmarkStart w:id="832" w:name="_Toc2735"/>
      <w:bookmarkStart w:id="833" w:name="_Toc1665102490"/>
      <w:bookmarkStart w:id="834" w:name="_Toc1900047462"/>
      <w:bookmarkStart w:id="835" w:name="_Toc9327"/>
      <w:bookmarkStart w:id="836" w:name="_Toc1638811262"/>
      <w:r>
        <w:rPr>
          <w:rFonts w:hint="eastAsia" w:ascii="仿宋_GB2312" w:hAnsi="仿宋_GB2312" w:cs="仿宋_GB2312"/>
        </w:rPr>
        <w:t>4</w:t>
      </w:r>
      <w:r>
        <w:t>．</w:t>
      </w:r>
      <w:r>
        <w:rPr>
          <w:rFonts w:hint="eastAsia" w:ascii="仿宋_GB2312" w:hAnsi="仿宋_GB2312" w:cs="仿宋_GB2312"/>
        </w:rPr>
        <w:t>《证券期货市场诚信监督管理办法》（2018年3月28日公布，2020年3月20日最新修</w:t>
      </w:r>
      <w:r>
        <w:rPr>
          <w:rFonts w:hint="eastAsia" w:ascii="仿宋_GB2312" w:hAnsi="仿宋_GB2312" w:cs="仿宋_GB2312"/>
          <w:lang w:eastAsia="zh-CN"/>
        </w:rPr>
        <w:t>订</w:t>
      </w:r>
      <w:r>
        <w:rPr>
          <w:rFonts w:hint="eastAsia" w:ascii="仿宋_GB2312" w:hAnsi="仿宋_GB2312" w:cs="仿宋_GB2312"/>
        </w:rPr>
        <w:t>并施行）</w:t>
      </w:r>
      <w:bookmarkEnd w:id="824"/>
      <w:bookmarkEnd w:id="825"/>
      <w:bookmarkEnd w:id="826"/>
      <w:bookmarkEnd w:id="827"/>
      <w:bookmarkEnd w:id="828"/>
      <w:bookmarkEnd w:id="829"/>
      <w:bookmarkEnd w:id="830"/>
      <w:bookmarkEnd w:id="831"/>
      <w:bookmarkEnd w:id="832"/>
      <w:bookmarkEnd w:id="833"/>
      <w:bookmarkEnd w:id="834"/>
      <w:bookmarkEnd w:id="835"/>
      <w:bookmarkEnd w:id="836"/>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熟悉诚信信息的采集和管理的规定；熟悉违法失信信息的效力期限；熟悉中国证监会及其派出机构、证券期货市场行业组织可以不聘任违法失信公民担任相关职务的规定；掌握诚信信息的公开与查询的规定；了解诚信约束、激励与引导机制。</w:t>
      </w:r>
    </w:p>
    <w:p>
      <w:pPr>
        <w:pStyle w:val="4"/>
        <w:ind w:firstLine="602"/>
        <w:rPr>
          <w:rFonts w:ascii="仿宋_GB2312" w:hAnsi="仿宋_GB2312" w:cs="仿宋_GB2312"/>
        </w:rPr>
      </w:pPr>
      <w:bookmarkStart w:id="837" w:name="_Toc30798"/>
      <w:bookmarkStart w:id="838" w:name="_Toc25750"/>
      <w:bookmarkStart w:id="839" w:name="_Toc9722"/>
      <w:bookmarkStart w:id="840" w:name="_Toc794278026"/>
      <w:bookmarkStart w:id="841" w:name="_Toc665907384"/>
      <w:bookmarkStart w:id="842" w:name="_Toc109809409"/>
      <w:bookmarkStart w:id="843" w:name="_Toc28884"/>
      <w:bookmarkStart w:id="844" w:name="_Toc523"/>
      <w:bookmarkStart w:id="845" w:name="_Toc29637"/>
      <w:bookmarkStart w:id="846" w:name="_Toc429025523"/>
      <w:bookmarkStart w:id="847" w:name="_Toc20363"/>
      <w:bookmarkStart w:id="848" w:name="_Toc5272"/>
      <w:bookmarkStart w:id="849" w:name="_Toc28210"/>
      <w:r>
        <w:rPr>
          <w:rFonts w:hint="eastAsia" w:ascii="仿宋_GB2312" w:hAnsi="仿宋_GB2312" w:cs="仿宋_GB2312"/>
        </w:rPr>
        <w:t>5</w:t>
      </w:r>
      <w:r>
        <w:t>．</w:t>
      </w:r>
      <w:r>
        <w:rPr>
          <w:rFonts w:hint="eastAsia" w:ascii="仿宋_GB2312" w:hAnsi="仿宋_GB2312" w:cs="仿宋_GB2312"/>
        </w:rPr>
        <w:t>《证券行业诚信准则》（2022年5月20日发布并施行）</w:t>
      </w:r>
      <w:bookmarkEnd w:id="837"/>
      <w:bookmarkEnd w:id="838"/>
      <w:bookmarkEnd w:id="839"/>
      <w:bookmarkEnd w:id="840"/>
      <w:bookmarkEnd w:id="841"/>
      <w:bookmarkEnd w:id="842"/>
      <w:bookmarkEnd w:id="843"/>
      <w:bookmarkEnd w:id="844"/>
      <w:bookmarkEnd w:id="845"/>
      <w:bookmarkEnd w:id="846"/>
      <w:bookmarkEnd w:id="847"/>
      <w:bookmarkEnd w:id="848"/>
      <w:bookmarkEnd w:id="849"/>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掌握证券公司及其工作人员对投资者及行业的义务、对客户的义务、配合监管、自律管理的义务；掌握证券公司的诚信从业管理责任；了解中国证券业协会对证券行业诚信建设的自律管理机制及措施。</w:t>
      </w:r>
    </w:p>
    <w:p>
      <w:pPr>
        <w:pStyle w:val="4"/>
        <w:ind w:firstLine="602"/>
        <w:rPr>
          <w:rFonts w:ascii="仿宋_GB2312" w:hAnsi="仿宋_GB2312" w:cs="仿宋_GB2312"/>
        </w:rPr>
      </w:pPr>
      <w:bookmarkStart w:id="850" w:name="_Toc247276081"/>
      <w:bookmarkStart w:id="851" w:name="_Toc712725577"/>
      <w:bookmarkStart w:id="852" w:name="_Toc26001"/>
      <w:bookmarkStart w:id="853" w:name="_Toc484202550"/>
      <w:r>
        <w:rPr>
          <w:rFonts w:hint="eastAsia" w:ascii="仿宋_GB2312" w:hAnsi="仿宋_GB2312" w:cs="仿宋_GB2312"/>
        </w:rPr>
        <w:t>6.《证券公司建立稳健薪酬制度指引》（2022年5月13日发布并施行）</w:t>
      </w:r>
      <w:bookmarkEnd w:id="850"/>
      <w:bookmarkEnd w:id="851"/>
      <w:bookmarkEnd w:id="852"/>
      <w:bookmarkEnd w:id="853"/>
    </w:p>
    <w:p>
      <w:pPr>
        <w:ind w:firstLine="600" w:firstLineChars="200"/>
        <w:rPr>
          <w:rFonts w:ascii="Times New Roman" w:eastAsia="仿宋_GB2312"/>
          <w:color w:val="000000"/>
          <w:sz w:val="30"/>
          <w:szCs w:val="30"/>
        </w:rPr>
      </w:pPr>
      <w:r>
        <w:rPr>
          <w:rFonts w:hint="eastAsia" w:ascii="Times New Roman" w:eastAsia="仿宋_GB2312"/>
          <w:color w:val="000000"/>
          <w:sz w:val="30"/>
          <w:szCs w:val="30"/>
        </w:rPr>
        <w:t>熟悉证券公司建立稳健薪酬制度的原则与目标；掌握证券公司薪酬制度的制定与实施要求；掌握证券公司制定薪酬制度的基本规范。</w:t>
      </w:r>
    </w:p>
    <w:p>
      <w:pPr>
        <w:autoSpaceDE w:val="0"/>
        <w:autoSpaceDN w:val="0"/>
        <w:adjustRightInd w:val="0"/>
        <w:spacing w:line="360" w:lineRule="auto"/>
        <w:ind w:firstLine="642" w:firstLineChars="200"/>
        <w:rPr>
          <w:rFonts w:hint="eastAsia" w:ascii="Times New Roman" w:hAnsi="Times New Roman" w:eastAsia="仿宋_GB2312"/>
          <w:b/>
          <w:sz w:val="32"/>
          <w:szCs w:val="32"/>
        </w:rPr>
      </w:pPr>
    </w:p>
    <w:p>
      <w:pPr>
        <w:autoSpaceDE w:val="0"/>
        <w:autoSpaceDN w:val="0"/>
        <w:adjustRightInd w:val="0"/>
        <w:spacing w:line="360" w:lineRule="auto"/>
        <w:ind w:firstLine="642" w:firstLineChars="200"/>
        <w:rPr>
          <w:rFonts w:ascii="仿宋_GB2312" w:hAnsi="仿宋_GB2312" w:eastAsia="仿宋_GB2312" w:cs="仿宋_GB2312"/>
          <w:sz w:val="32"/>
          <w:szCs w:val="32"/>
        </w:rPr>
      </w:pPr>
      <w:r>
        <w:rPr>
          <w:rFonts w:hint="eastAsia" w:ascii="Times New Roman" w:hAnsi="Times New Roman" w:eastAsia="仿宋_GB2312"/>
          <w:b/>
          <w:sz w:val="32"/>
          <w:szCs w:val="32"/>
        </w:rPr>
        <w:t>（测试涉及的以上法律、法规、规章、规范性文件、行业自律规则，如有修订，以修订版为准）</w:t>
      </w:r>
    </w:p>
    <w:sectPr>
      <w:footerReference r:id="rId10"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NTaLm5wEAAMcD&#10;AAAOAAAAAAAAAAEAIAAAAB4BAABkcnMvZTJvRG9jLnhtbFBLBQYAAAAABgAGAFkBAAB3BQAAAAA=&#1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6"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TiyUj5wEAAMcD&#10;AAAOAAAAAAAAAAEAIAAAAB4BAABkcnMvZTJvRG9jLnhtbFBLBQYAAAAABgAGAFkBAAB3BQAAAAA=&#1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12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C4397F"/>
    <w:multiLevelType w:val="singleLevel"/>
    <w:tmpl w:val="4CC4397F"/>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YwNzQyOWFjZTg4MWI5YTJkYTBiMzQ1YjhmMzUwMjUifQ=="/>
  </w:docVars>
  <w:rsids>
    <w:rsidRoot w:val="00731C5A"/>
    <w:rsid w:val="000062F6"/>
    <w:rsid w:val="0001060B"/>
    <w:rsid w:val="00014927"/>
    <w:rsid w:val="00014CF2"/>
    <w:rsid w:val="00024EB4"/>
    <w:rsid w:val="0002623D"/>
    <w:rsid w:val="00043B6F"/>
    <w:rsid w:val="00045A00"/>
    <w:rsid w:val="000538E7"/>
    <w:rsid w:val="00060785"/>
    <w:rsid w:val="00065A8F"/>
    <w:rsid w:val="00071B27"/>
    <w:rsid w:val="00072583"/>
    <w:rsid w:val="000745CD"/>
    <w:rsid w:val="000847C2"/>
    <w:rsid w:val="000900B6"/>
    <w:rsid w:val="000A7067"/>
    <w:rsid w:val="000C52B6"/>
    <w:rsid w:val="000D0937"/>
    <w:rsid w:val="000D24D8"/>
    <w:rsid w:val="000D2895"/>
    <w:rsid w:val="000D2C80"/>
    <w:rsid w:val="000D3E07"/>
    <w:rsid w:val="000E0081"/>
    <w:rsid w:val="000E2F6E"/>
    <w:rsid w:val="000E7ED8"/>
    <w:rsid w:val="000F19AC"/>
    <w:rsid w:val="000F4E2A"/>
    <w:rsid w:val="00122025"/>
    <w:rsid w:val="0012768F"/>
    <w:rsid w:val="00135299"/>
    <w:rsid w:val="00137CDB"/>
    <w:rsid w:val="00145A43"/>
    <w:rsid w:val="0015169F"/>
    <w:rsid w:val="00156191"/>
    <w:rsid w:val="00173FC0"/>
    <w:rsid w:val="00180E4E"/>
    <w:rsid w:val="00182A5E"/>
    <w:rsid w:val="00185D0B"/>
    <w:rsid w:val="001927A8"/>
    <w:rsid w:val="0019440B"/>
    <w:rsid w:val="0019536A"/>
    <w:rsid w:val="001A78E6"/>
    <w:rsid w:val="001D2800"/>
    <w:rsid w:val="001D56B9"/>
    <w:rsid w:val="001D67A9"/>
    <w:rsid w:val="001E1463"/>
    <w:rsid w:val="001E642A"/>
    <w:rsid w:val="001E6EB4"/>
    <w:rsid w:val="001E7137"/>
    <w:rsid w:val="001E72E7"/>
    <w:rsid w:val="001F7219"/>
    <w:rsid w:val="00204895"/>
    <w:rsid w:val="002051FD"/>
    <w:rsid w:val="00216FF7"/>
    <w:rsid w:val="00227028"/>
    <w:rsid w:val="002300F1"/>
    <w:rsid w:val="00246866"/>
    <w:rsid w:val="00253A2B"/>
    <w:rsid w:val="00286AB0"/>
    <w:rsid w:val="002A2FB1"/>
    <w:rsid w:val="002A7E91"/>
    <w:rsid w:val="002B6FD1"/>
    <w:rsid w:val="002B7E23"/>
    <w:rsid w:val="002C082E"/>
    <w:rsid w:val="002C1A12"/>
    <w:rsid w:val="002C4A34"/>
    <w:rsid w:val="002C554A"/>
    <w:rsid w:val="002C55A5"/>
    <w:rsid w:val="002D4847"/>
    <w:rsid w:val="002D67BD"/>
    <w:rsid w:val="002E67F5"/>
    <w:rsid w:val="002F0D7D"/>
    <w:rsid w:val="0030412A"/>
    <w:rsid w:val="003045CA"/>
    <w:rsid w:val="003048B7"/>
    <w:rsid w:val="00316F74"/>
    <w:rsid w:val="00336213"/>
    <w:rsid w:val="00344A7E"/>
    <w:rsid w:val="003507F5"/>
    <w:rsid w:val="00352A4E"/>
    <w:rsid w:val="00353D77"/>
    <w:rsid w:val="00354EEA"/>
    <w:rsid w:val="0036305F"/>
    <w:rsid w:val="003655FF"/>
    <w:rsid w:val="00373FCB"/>
    <w:rsid w:val="00377E08"/>
    <w:rsid w:val="00383124"/>
    <w:rsid w:val="00384FA9"/>
    <w:rsid w:val="0038613D"/>
    <w:rsid w:val="00391847"/>
    <w:rsid w:val="003949F7"/>
    <w:rsid w:val="003A596B"/>
    <w:rsid w:val="003B419D"/>
    <w:rsid w:val="003B5398"/>
    <w:rsid w:val="003D7D7A"/>
    <w:rsid w:val="003E2AB9"/>
    <w:rsid w:val="003F1540"/>
    <w:rsid w:val="003F4E30"/>
    <w:rsid w:val="003F6E8B"/>
    <w:rsid w:val="00406C47"/>
    <w:rsid w:val="004165CD"/>
    <w:rsid w:val="00423501"/>
    <w:rsid w:val="00423FC1"/>
    <w:rsid w:val="0042589C"/>
    <w:rsid w:val="00427C82"/>
    <w:rsid w:val="0043094A"/>
    <w:rsid w:val="00430A1A"/>
    <w:rsid w:val="00430BCE"/>
    <w:rsid w:val="004325DF"/>
    <w:rsid w:val="004358F2"/>
    <w:rsid w:val="004369CE"/>
    <w:rsid w:val="00441B73"/>
    <w:rsid w:val="00444D0B"/>
    <w:rsid w:val="004472A2"/>
    <w:rsid w:val="00461D40"/>
    <w:rsid w:val="0049128B"/>
    <w:rsid w:val="00497596"/>
    <w:rsid w:val="004C1B52"/>
    <w:rsid w:val="004C2C40"/>
    <w:rsid w:val="004C393F"/>
    <w:rsid w:val="004D3BBD"/>
    <w:rsid w:val="004D643D"/>
    <w:rsid w:val="004E32A3"/>
    <w:rsid w:val="004E6EEF"/>
    <w:rsid w:val="00502590"/>
    <w:rsid w:val="00504823"/>
    <w:rsid w:val="0050649C"/>
    <w:rsid w:val="00512F48"/>
    <w:rsid w:val="00520B05"/>
    <w:rsid w:val="0052118C"/>
    <w:rsid w:val="00522C44"/>
    <w:rsid w:val="00533264"/>
    <w:rsid w:val="00533953"/>
    <w:rsid w:val="0054507C"/>
    <w:rsid w:val="00571438"/>
    <w:rsid w:val="005750C9"/>
    <w:rsid w:val="00580F6E"/>
    <w:rsid w:val="00593186"/>
    <w:rsid w:val="005A1CBF"/>
    <w:rsid w:val="005B4F9D"/>
    <w:rsid w:val="005B7528"/>
    <w:rsid w:val="005C458C"/>
    <w:rsid w:val="005D1BC6"/>
    <w:rsid w:val="005D30A4"/>
    <w:rsid w:val="005D5980"/>
    <w:rsid w:val="005E4CF3"/>
    <w:rsid w:val="0061004F"/>
    <w:rsid w:val="00620F69"/>
    <w:rsid w:val="006229BC"/>
    <w:rsid w:val="00633BF7"/>
    <w:rsid w:val="00634907"/>
    <w:rsid w:val="00640FF5"/>
    <w:rsid w:val="00650C01"/>
    <w:rsid w:val="00650E43"/>
    <w:rsid w:val="00652FF5"/>
    <w:rsid w:val="00663AB6"/>
    <w:rsid w:val="00685D8C"/>
    <w:rsid w:val="0069423F"/>
    <w:rsid w:val="006A1A7A"/>
    <w:rsid w:val="006A253C"/>
    <w:rsid w:val="006C2B6B"/>
    <w:rsid w:val="006E3833"/>
    <w:rsid w:val="006E6664"/>
    <w:rsid w:val="006F2A3F"/>
    <w:rsid w:val="007238B8"/>
    <w:rsid w:val="00725233"/>
    <w:rsid w:val="00731C5A"/>
    <w:rsid w:val="00752354"/>
    <w:rsid w:val="007571AC"/>
    <w:rsid w:val="0076290D"/>
    <w:rsid w:val="007716A6"/>
    <w:rsid w:val="00777FEE"/>
    <w:rsid w:val="007931DF"/>
    <w:rsid w:val="00796FD6"/>
    <w:rsid w:val="007B3128"/>
    <w:rsid w:val="007B3BD1"/>
    <w:rsid w:val="007B5776"/>
    <w:rsid w:val="007B5B94"/>
    <w:rsid w:val="007E6EF2"/>
    <w:rsid w:val="007F0C4D"/>
    <w:rsid w:val="007F2A93"/>
    <w:rsid w:val="007F3AA2"/>
    <w:rsid w:val="00801C67"/>
    <w:rsid w:val="00817EDB"/>
    <w:rsid w:val="00820406"/>
    <w:rsid w:val="00822656"/>
    <w:rsid w:val="00827720"/>
    <w:rsid w:val="0085067F"/>
    <w:rsid w:val="008545BB"/>
    <w:rsid w:val="0085509B"/>
    <w:rsid w:val="00856E1C"/>
    <w:rsid w:val="00860DF1"/>
    <w:rsid w:val="00872DB6"/>
    <w:rsid w:val="00876959"/>
    <w:rsid w:val="00880401"/>
    <w:rsid w:val="00883A2A"/>
    <w:rsid w:val="00884B18"/>
    <w:rsid w:val="00887B49"/>
    <w:rsid w:val="00890610"/>
    <w:rsid w:val="008A4132"/>
    <w:rsid w:val="008A4861"/>
    <w:rsid w:val="008A7F8A"/>
    <w:rsid w:val="008C76C0"/>
    <w:rsid w:val="008D5B56"/>
    <w:rsid w:val="008D7377"/>
    <w:rsid w:val="008D7981"/>
    <w:rsid w:val="008D7BC7"/>
    <w:rsid w:val="008E58F1"/>
    <w:rsid w:val="00901F52"/>
    <w:rsid w:val="009031F9"/>
    <w:rsid w:val="0090485F"/>
    <w:rsid w:val="0090646D"/>
    <w:rsid w:val="0092085A"/>
    <w:rsid w:val="00920E56"/>
    <w:rsid w:val="00922355"/>
    <w:rsid w:val="00927783"/>
    <w:rsid w:val="0094269A"/>
    <w:rsid w:val="009475D7"/>
    <w:rsid w:val="00954514"/>
    <w:rsid w:val="00954EC4"/>
    <w:rsid w:val="0096574A"/>
    <w:rsid w:val="00972E0A"/>
    <w:rsid w:val="0097476D"/>
    <w:rsid w:val="00975FB1"/>
    <w:rsid w:val="0098083D"/>
    <w:rsid w:val="00982101"/>
    <w:rsid w:val="00990B32"/>
    <w:rsid w:val="009912A7"/>
    <w:rsid w:val="00997BB3"/>
    <w:rsid w:val="009A0F7A"/>
    <w:rsid w:val="009A3934"/>
    <w:rsid w:val="009A6E29"/>
    <w:rsid w:val="009B471C"/>
    <w:rsid w:val="009B69AB"/>
    <w:rsid w:val="009B7183"/>
    <w:rsid w:val="009B751A"/>
    <w:rsid w:val="009E01C7"/>
    <w:rsid w:val="009F098D"/>
    <w:rsid w:val="00A13335"/>
    <w:rsid w:val="00A14002"/>
    <w:rsid w:val="00A22128"/>
    <w:rsid w:val="00A22231"/>
    <w:rsid w:val="00A24586"/>
    <w:rsid w:val="00A300D7"/>
    <w:rsid w:val="00A50996"/>
    <w:rsid w:val="00A53A8E"/>
    <w:rsid w:val="00A5586D"/>
    <w:rsid w:val="00A558FB"/>
    <w:rsid w:val="00A605E5"/>
    <w:rsid w:val="00A60F2C"/>
    <w:rsid w:val="00A626E7"/>
    <w:rsid w:val="00A64278"/>
    <w:rsid w:val="00A64383"/>
    <w:rsid w:val="00A735BF"/>
    <w:rsid w:val="00A77701"/>
    <w:rsid w:val="00A904E2"/>
    <w:rsid w:val="00AA16EB"/>
    <w:rsid w:val="00AA622A"/>
    <w:rsid w:val="00AB19F3"/>
    <w:rsid w:val="00AC7905"/>
    <w:rsid w:val="00AC7C62"/>
    <w:rsid w:val="00AD14FB"/>
    <w:rsid w:val="00AF11BE"/>
    <w:rsid w:val="00B03C58"/>
    <w:rsid w:val="00B13D4E"/>
    <w:rsid w:val="00B179AA"/>
    <w:rsid w:val="00B235CF"/>
    <w:rsid w:val="00B23B2A"/>
    <w:rsid w:val="00B24432"/>
    <w:rsid w:val="00B41000"/>
    <w:rsid w:val="00B42470"/>
    <w:rsid w:val="00B55F51"/>
    <w:rsid w:val="00B638D8"/>
    <w:rsid w:val="00B66693"/>
    <w:rsid w:val="00B72FCA"/>
    <w:rsid w:val="00B752FC"/>
    <w:rsid w:val="00B76E9E"/>
    <w:rsid w:val="00B92F2D"/>
    <w:rsid w:val="00B94B07"/>
    <w:rsid w:val="00B953CF"/>
    <w:rsid w:val="00BA7554"/>
    <w:rsid w:val="00BB6975"/>
    <w:rsid w:val="00BE6FE2"/>
    <w:rsid w:val="00BF4036"/>
    <w:rsid w:val="00BF4444"/>
    <w:rsid w:val="00BF51E9"/>
    <w:rsid w:val="00BF53A9"/>
    <w:rsid w:val="00BF6431"/>
    <w:rsid w:val="00BF77AD"/>
    <w:rsid w:val="00C01438"/>
    <w:rsid w:val="00C07749"/>
    <w:rsid w:val="00C3674B"/>
    <w:rsid w:val="00C401E8"/>
    <w:rsid w:val="00C45C03"/>
    <w:rsid w:val="00C5158F"/>
    <w:rsid w:val="00C5171B"/>
    <w:rsid w:val="00C52F22"/>
    <w:rsid w:val="00C554BE"/>
    <w:rsid w:val="00C5624F"/>
    <w:rsid w:val="00C61102"/>
    <w:rsid w:val="00C6134D"/>
    <w:rsid w:val="00C64B0C"/>
    <w:rsid w:val="00C76296"/>
    <w:rsid w:val="00C8711E"/>
    <w:rsid w:val="00C922CB"/>
    <w:rsid w:val="00C96BFE"/>
    <w:rsid w:val="00CA00B0"/>
    <w:rsid w:val="00CA159F"/>
    <w:rsid w:val="00CB3C14"/>
    <w:rsid w:val="00CC34BE"/>
    <w:rsid w:val="00CD6353"/>
    <w:rsid w:val="00CE1E6E"/>
    <w:rsid w:val="00CE1FD3"/>
    <w:rsid w:val="00CF33E8"/>
    <w:rsid w:val="00CF59BB"/>
    <w:rsid w:val="00D01616"/>
    <w:rsid w:val="00D11392"/>
    <w:rsid w:val="00D13D88"/>
    <w:rsid w:val="00D17260"/>
    <w:rsid w:val="00D2076B"/>
    <w:rsid w:val="00D21263"/>
    <w:rsid w:val="00D21FBD"/>
    <w:rsid w:val="00D2341D"/>
    <w:rsid w:val="00D30DB8"/>
    <w:rsid w:val="00D4187B"/>
    <w:rsid w:val="00D43CCB"/>
    <w:rsid w:val="00D535F7"/>
    <w:rsid w:val="00D53D1F"/>
    <w:rsid w:val="00D53EA2"/>
    <w:rsid w:val="00D554AA"/>
    <w:rsid w:val="00D5553D"/>
    <w:rsid w:val="00D6185B"/>
    <w:rsid w:val="00D93752"/>
    <w:rsid w:val="00D93B08"/>
    <w:rsid w:val="00D93CC1"/>
    <w:rsid w:val="00DA13A0"/>
    <w:rsid w:val="00DB7C92"/>
    <w:rsid w:val="00DC0BFA"/>
    <w:rsid w:val="00DF4A78"/>
    <w:rsid w:val="00E06036"/>
    <w:rsid w:val="00E14B9E"/>
    <w:rsid w:val="00E20DF6"/>
    <w:rsid w:val="00E2402B"/>
    <w:rsid w:val="00E356F6"/>
    <w:rsid w:val="00E406E9"/>
    <w:rsid w:val="00E42778"/>
    <w:rsid w:val="00E479BF"/>
    <w:rsid w:val="00E47B97"/>
    <w:rsid w:val="00E60362"/>
    <w:rsid w:val="00E80DED"/>
    <w:rsid w:val="00E843A3"/>
    <w:rsid w:val="00E94236"/>
    <w:rsid w:val="00E94769"/>
    <w:rsid w:val="00EA20DD"/>
    <w:rsid w:val="00EA53DF"/>
    <w:rsid w:val="00EB0427"/>
    <w:rsid w:val="00EB5B9B"/>
    <w:rsid w:val="00EB73CD"/>
    <w:rsid w:val="00EC0C2C"/>
    <w:rsid w:val="00EC4F38"/>
    <w:rsid w:val="00EC5DE3"/>
    <w:rsid w:val="00EE0615"/>
    <w:rsid w:val="00EE596A"/>
    <w:rsid w:val="00EE6B85"/>
    <w:rsid w:val="00EF6694"/>
    <w:rsid w:val="00F0617E"/>
    <w:rsid w:val="00F1584E"/>
    <w:rsid w:val="00F16753"/>
    <w:rsid w:val="00F22CC5"/>
    <w:rsid w:val="00F2462F"/>
    <w:rsid w:val="00F249DE"/>
    <w:rsid w:val="00F312CC"/>
    <w:rsid w:val="00F34319"/>
    <w:rsid w:val="00F41679"/>
    <w:rsid w:val="00F44747"/>
    <w:rsid w:val="00F4714F"/>
    <w:rsid w:val="00F52E9B"/>
    <w:rsid w:val="00F55CCC"/>
    <w:rsid w:val="00F56975"/>
    <w:rsid w:val="00F70BFE"/>
    <w:rsid w:val="00F75149"/>
    <w:rsid w:val="00F80238"/>
    <w:rsid w:val="00FA290F"/>
    <w:rsid w:val="00FA3A06"/>
    <w:rsid w:val="00FF2A57"/>
    <w:rsid w:val="00FF7858"/>
    <w:rsid w:val="0104069E"/>
    <w:rsid w:val="0137545C"/>
    <w:rsid w:val="013E00A5"/>
    <w:rsid w:val="02BE7B6B"/>
    <w:rsid w:val="03540C0E"/>
    <w:rsid w:val="036F26F8"/>
    <w:rsid w:val="03CB7941"/>
    <w:rsid w:val="0449043F"/>
    <w:rsid w:val="044F3613"/>
    <w:rsid w:val="04915F9A"/>
    <w:rsid w:val="04984845"/>
    <w:rsid w:val="054A7965"/>
    <w:rsid w:val="06892747"/>
    <w:rsid w:val="06AA7B43"/>
    <w:rsid w:val="06F3037B"/>
    <w:rsid w:val="076B34D3"/>
    <w:rsid w:val="07D10A0B"/>
    <w:rsid w:val="08425354"/>
    <w:rsid w:val="08980AE1"/>
    <w:rsid w:val="090117FB"/>
    <w:rsid w:val="096C5302"/>
    <w:rsid w:val="09A11726"/>
    <w:rsid w:val="09C747D2"/>
    <w:rsid w:val="09F7729F"/>
    <w:rsid w:val="0A1261E4"/>
    <w:rsid w:val="0A710606"/>
    <w:rsid w:val="0AB7628C"/>
    <w:rsid w:val="0B726458"/>
    <w:rsid w:val="0BAB4C4A"/>
    <w:rsid w:val="0C4C77E9"/>
    <w:rsid w:val="0C753413"/>
    <w:rsid w:val="0C962232"/>
    <w:rsid w:val="0CEE623C"/>
    <w:rsid w:val="0CFF6D0E"/>
    <w:rsid w:val="0D1A0E41"/>
    <w:rsid w:val="0E140AF3"/>
    <w:rsid w:val="0E391D61"/>
    <w:rsid w:val="0E3F261F"/>
    <w:rsid w:val="0E4A0832"/>
    <w:rsid w:val="0E853FF8"/>
    <w:rsid w:val="0EC152B6"/>
    <w:rsid w:val="0F7070F4"/>
    <w:rsid w:val="0F745294"/>
    <w:rsid w:val="0FCA57AE"/>
    <w:rsid w:val="0FD12376"/>
    <w:rsid w:val="102C73FA"/>
    <w:rsid w:val="10BA0231"/>
    <w:rsid w:val="10C93D8A"/>
    <w:rsid w:val="10D01C2E"/>
    <w:rsid w:val="10FA6ACC"/>
    <w:rsid w:val="11380CA0"/>
    <w:rsid w:val="11583BA6"/>
    <w:rsid w:val="11CE4DC6"/>
    <w:rsid w:val="11EA2D8B"/>
    <w:rsid w:val="11EA6FDC"/>
    <w:rsid w:val="1223645E"/>
    <w:rsid w:val="12436CBA"/>
    <w:rsid w:val="12821866"/>
    <w:rsid w:val="12AD5216"/>
    <w:rsid w:val="12B66EC1"/>
    <w:rsid w:val="12CE3E56"/>
    <w:rsid w:val="12DE3350"/>
    <w:rsid w:val="13255AD6"/>
    <w:rsid w:val="133D5112"/>
    <w:rsid w:val="13414BEA"/>
    <w:rsid w:val="1355718A"/>
    <w:rsid w:val="13817257"/>
    <w:rsid w:val="13D435FA"/>
    <w:rsid w:val="14844B6B"/>
    <w:rsid w:val="1486560F"/>
    <w:rsid w:val="14AE3C69"/>
    <w:rsid w:val="14CC4D46"/>
    <w:rsid w:val="14D64EA2"/>
    <w:rsid w:val="15257530"/>
    <w:rsid w:val="152C2C5C"/>
    <w:rsid w:val="15523377"/>
    <w:rsid w:val="169B0387"/>
    <w:rsid w:val="16AA24C2"/>
    <w:rsid w:val="16F256D6"/>
    <w:rsid w:val="16F36C31"/>
    <w:rsid w:val="176F1D15"/>
    <w:rsid w:val="17DBCE8D"/>
    <w:rsid w:val="17DF8910"/>
    <w:rsid w:val="18306E4A"/>
    <w:rsid w:val="186A0A87"/>
    <w:rsid w:val="18FE0A59"/>
    <w:rsid w:val="19237F98"/>
    <w:rsid w:val="192F503D"/>
    <w:rsid w:val="1993243A"/>
    <w:rsid w:val="19AB3114"/>
    <w:rsid w:val="19AD33C2"/>
    <w:rsid w:val="1A2B21FE"/>
    <w:rsid w:val="1A410DA3"/>
    <w:rsid w:val="1AB150FE"/>
    <w:rsid w:val="1B024EB3"/>
    <w:rsid w:val="1BC4682B"/>
    <w:rsid w:val="1C476A04"/>
    <w:rsid w:val="1C8C72E9"/>
    <w:rsid w:val="1CBA24E2"/>
    <w:rsid w:val="1CD961C7"/>
    <w:rsid w:val="1CE470B1"/>
    <w:rsid w:val="1CF51418"/>
    <w:rsid w:val="1D0B5492"/>
    <w:rsid w:val="1D505414"/>
    <w:rsid w:val="1E2967D2"/>
    <w:rsid w:val="1E6F18CA"/>
    <w:rsid w:val="1EBF5799"/>
    <w:rsid w:val="1F7706F5"/>
    <w:rsid w:val="1FCFC409"/>
    <w:rsid w:val="204E0345"/>
    <w:rsid w:val="205056D7"/>
    <w:rsid w:val="20BC7010"/>
    <w:rsid w:val="20EE70C7"/>
    <w:rsid w:val="213F30D2"/>
    <w:rsid w:val="215571EE"/>
    <w:rsid w:val="21615CBC"/>
    <w:rsid w:val="21AB0CC9"/>
    <w:rsid w:val="21C25ED0"/>
    <w:rsid w:val="224B4755"/>
    <w:rsid w:val="22804A62"/>
    <w:rsid w:val="22F4511F"/>
    <w:rsid w:val="2306424A"/>
    <w:rsid w:val="233A6EC1"/>
    <w:rsid w:val="24184A40"/>
    <w:rsid w:val="249D0510"/>
    <w:rsid w:val="24E21C07"/>
    <w:rsid w:val="24E25906"/>
    <w:rsid w:val="24FD04D2"/>
    <w:rsid w:val="25317218"/>
    <w:rsid w:val="269B15C7"/>
    <w:rsid w:val="26A60D10"/>
    <w:rsid w:val="26C42904"/>
    <w:rsid w:val="26EE6978"/>
    <w:rsid w:val="27146033"/>
    <w:rsid w:val="273E6C83"/>
    <w:rsid w:val="277D1A70"/>
    <w:rsid w:val="27D840D6"/>
    <w:rsid w:val="27DE5FAB"/>
    <w:rsid w:val="284B5119"/>
    <w:rsid w:val="28671BD9"/>
    <w:rsid w:val="28D90BD6"/>
    <w:rsid w:val="28FD1843"/>
    <w:rsid w:val="290468D0"/>
    <w:rsid w:val="291B3125"/>
    <w:rsid w:val="299C4827"/>
    <w:rsid w:val="29BB49D1"/>
    <w:rsid w:val="29E338A1"/>
    <w:rsid w:val="29F06CD6"/>
    <w:rsid w:val="2A1C4366"/>
    <w:rsid w:val="2A512261"/>
    <w:rsid w:val="2A586F7E"/>
    <w:rsid w:val="2A70064C"/>
    <w:rsid w:val="2AB24609"/>
    <w:rsid w:val="2B113797"/>
    <w:rsid w:val="2B6B41DF"/>
    <w:rsid w:val="2B75160E"/>
    <w:rsid w:val="2BFC52DC"/>
    <w:rsid w:val="2C0F09E1"/>
    <w:rsid w:val="2C336061"/>
    <w:rsid w:val="2C4D3C18"/>
    <w:rsid w:val="2C7B7B69"/>
    <w:rsid w:val="2C925285"/>
    <w:rsid w:val="2CEF506D"/>
    <w:rsid w:val="2CF76D9E"/>
    <w:rsid w:val="2CFB7CB6"/>
    <w:rsid w:val="2D1B2438"/>
    <w:rsid w:val="2D2B2BD1"/>
    <w:rsid w:val="2D597201"/>
    <w:rsid w:val="2E0A5CC9"/>
    <w:rsid w:val="2E390CDF"/>
    <w:rsid w:val="2EFD65A5"/>
    <w:rsid w:val="2F6D7EC8"/>
    <w:rsid w:val="2FDD48EA"/>
    <w:rsid w:val="2FFC11D2"/>
    <w:rsid w:val="30D112EF"/>
    <w:rsid w:val="30EB3C3F"/>
    <w:rsid w:val="31063012"/>
    <w:rsid w:val="31C80DAB"/>
    <w:rsid w:val="31D456D2"/>
    <w:rsid w:val="31F92164"/>
    <w:rsid w:val="324265B2"/>
    <w:rsid w:val="327868ED"/>
    <w:rsid w:val="32CB5F8F"/>
    <w:rsid w:val="32F1B7A2"/>
    <w:rsid w:val="332D7728"/>
    <w:rsid w:val="33CE7AD8"/>
    <w:rsid w:val="33E553D8"/>
    <w:rsid w:val="33F85B66"/>
    <w:rsid w:val="33FA7880"/>
    <w:rsid w:val="34272982"/>
    <w:rsid w:val="342B1B5C"/>
    <w:rsid w:val="345C610A"/>
    <w:rsid w:val="35543977"/>
    <w:rsid w:val="35914674"/>
    <w:rsid w:val="35A61F31"/>
    <w:rsid w:val="35AA5375"/>
    <w:rsid w:val="365777D3"/>
    <w:rsid w:val="368F5DA1"/>
    <w:rsid w:val="36BB793F"/>
    <w:rsid w:val="371D61CC"/>
    <w:rsid w:val="374065B4"/>
    <w:rsid w:val="3742631B"/>
    <w:rsid w:val="375C4BA1"/>
    <w:rsid w:val="375D5A03"/>
    <w:rsid w:val="37635171"/>
    <w:rsid w:val="37A62D9D"/>
    <w:rsid w:val="37D15B37"/>
    <w:rsid w:val="38377F15"/>
    <w:rsid w:val="38D359C5"/>
    <w:rsid w:val="38DF49CA"/>
    <w:rsid w:val="390A00D6"/>
    <w:rsid w:val="394E4BA8"/>
    <w:rsid w:val="39C72DE9"/>
    <w:rsid w:val="39EC5FA9"/>
    <w:rsid w:val="39FD2CF0"/>
    <w:rsid w:val="3A8112FD"/>
    <w:rsid w:val="3AA03F81"/>
    <w:rsid w:val="3AA97602"/>
    <w:rsid w:val="3AC03622"/>
    <w:rsid w:val="3AC52DE3"/>
    <w:rsid w:val="3B7243D5"/>
    <w:rsid w:val="3B787163"/>
    <w:rsid w:val="3BC1774B"/>
    <w:rsid w:val="3C085229"/>
    <w:rsid w:val="3C2FA596"/>
    <w:rsid w:val="3C3B1B50"/>
    <w:rsid w:val="3C5B304C"/>
    <w:rsid w:val="3CBB02C0"/>
    <w:rsid w:val="3D1B6FC7"/>
    <w:rsid w:val="3D511CBF"/>
    <w:rsid w:val="3D710857"/>
    <w:rsid w:val="3DC20B34"/>
    <w:rsid w:val="3DEDC4B1"/>
    <w:rsid w:val="3DEF29D1"/>
    <w:rsid w:val="3E047A0E"/>
    <w:rsid w:val="3E6605A2"/>
    <w:rsid w:val="3EBF5028"/>
    <w:rsid w:val="3EF16A68"/>
    <w:rsid w:val="3F535A92"/>
    <w:rsid w:val="3F6D6933"/>
    <w:rsid w:val="3F7E78D0"/>
    <w:rsid w:val="40E41E7A"/>
    <w:rsid w:val="417516C3"/>
    <w:rsid w:val="4294422F"/>
    <w:rsid w:val="42FB45DF"/>
    <w:rsid w:val="4340789F"/>
    <w:rsid w:val="43527502"/>
    <w:rsid w:val="43930751"/>
    <w:rsid w:val="43B63B58"/>
    <w:rsid w:val="43BE3A11"/>
    <w:rsid w:val="43D2671C"/>
    <w:rsid w:val="44187D3B"/>
    <w:rsid w:val="446E608E"/>
    <w:rsid w:val="454311A4"/>
    <w:rsid w:val="45631998"/>
    <w:rsid w:val="459F57F9"/>
    <w:rsid w:val="45E50796"/>
    <w:rsid w:val="46043F04"/>
    <w:rsid w:val="461C05C4"/>
    <w:rsid w:val="48901907"/>
    <w:rsid w:val="48A859AC"/>
    <w:rsid w:val="48D04B5C"/>
    <w:rsid w:val="48F263C0"/>
    <w:rsid w:val="49201703"/>
    <w:rsid w:val="49606D63"/>
    <w:rsid w:val="49622800"/>
    <w:rsid w:val="497D3627"/>
    <w:rsid w:val="49AF202F"/>
    <w:rsid w:val="4A2F1AD3"/>
    <w:rsid w:val="4A805F3D"/>
    <w:rsid w:val="4AB51A99"/>
    <w:rsid w:val="4ACA7924"/>
    <w:rsid w:val="4B166DC7"/>
    <w:rsid w:val="4B642616"/>
    <w:rsid w:val="4B655080"/>
    <w:rsid w:val="4B951D24"/>
    <w:rsid w:val="4BA02B47"/>
    <w:rsid w:val="4BA46496"/>
    <w:rsid w:val="4BBA5788"/>
    <w:rsid w:val="4C084BF5"/>
    <w:rsid w:val="4C2B560B"/>
    <w:rsid w:val="4C367D81"/>
    <w:rsid w:val="4C41228E"/>
    <w:rsid w:val="4CBA31D6"/>
    <w:rsid w:val="4D8D1F78"/>
    <w:rsid w:val="4E47721D"/>
    <w:rsid w:val="4E7F6704"/>
    <w:rsid w:val="4EA136CB"/>
    <w:rsid w:val="4EBBE86A"/>
    <w:rsid w:val="4EF30B05"/>
    <w:rsid w:val="4FCB4AE7"/>
    <w:rsid w:val="4FF17F6E"/>
    <w:rsid w:val="50270021"/>
    <w:rsid w:val="50677DE5"/>
    <w:rsid w:val="512D6267"/>
    <w:rsid w:val="5145202B"/>
    <w:rsid w:val="51BB4CA1"/>
    <w:rsid w:val="5238519E"/>
    <w:rsid w:val="52716352"/>
    <w:rsid w:val="527E5713"/>
    <w:rsid w:val="52852BBD"/>
    <w:rsid w:val="53672E15"/>
    <w:rsid w:val="537F07A6"/>
    <w:rsid w:val="54252C76"/>
    <w:rsid w:val="548658F1"/>
    <w:rsid w:val="55176462"/>
    <w:rsid w:val="555A663F"/>
    <w:rsid w:val="563479D9"/>
    <w:rsid w:val="567462A3"/>
    <w:rsid w:val="56BF3214"/>
    <w:rsid w:val="573B5175"/>
    <w:rsid w:val="57C843D8"/>
    <w:rsid w:val="57E94CEB"/>
    <w:rsid w:val="57F7961B"/>
    <w:rsid w:val="57FF78AD"/>
    <w:rsid w:val="58126CC2"/>
    <w:rsid w:val="58265FD3"/>
    <w:rsid w:val="587D64B4"/>
    <w:rsid w:val="58B00DAA"/>
    <w:rsid w:val="58F17275"/>
    <w:rsid w:val="590A5A69"/>
    <w:rsid w:val="590D33EE"/>
    <w:rsid w:val="59257D3C"/>
    <w:rsid w:val="59392234"/>
    <w:rsid w:val="59622AB2"/>
    <w:rsid w:val="597E4C26"/>
    <w:rsid w:val="599050DD"/>
    <w:rsid w:val="59FA183E"/>
    <w:rsid w:val="5A0320B1"/>
    <w:rsid w:val="5B11625F"/>
    <w:rsid w:val="5B375814"/>
    <w:rsid w:val="5B5B3146"/>
    <w:rsid w:val="5BB11B98"/>
    <w:rsid w:val="5D131C09"/>
    <w:rsid w:val="5D363764"/>
    <w:rsid w:val="5D645A00"/>
    <w:rsid w:val="5E1C1713"/>
    <w:rsid w:val="5E4D35D6"/>
    <w:rsid w:val="5E9F1EA5"/>
    <w:rsid w:val="5EAD0562"/>
    <w:rsid w:val="5F4949E5"/>
    <w:rsid w:val="5F812236"/>
    <w:rsid w:val="602C3CD3"/>
    <w:rsid w:val="609E4B19"/>
    <w:rsid w:val="60D2508E"/>
    <w:rsid w:val="60EC55EF"/>
    <w:rsid w:val="610B047A"/>
    <w:rsid w:val="61164002"/>
    <w:rsid w:val="61174A75"/>
    <w:rsid w:val="62167C27"/>
    <w:rsid w:val="622B7C2F"/>
    <w:rsid w:val="62330C21"/>
    <w:rsid w:val="625A6415"/>
    <w:rsid w:val="627F0EE6"/>
    <w:rsid w:val="6339079E"/>
    <w:rsid w:val="635E7A3B"/>
    <w:rsid w:val="636E5B5C"/>
    <w:rsid w:val="63765781"/>
    <w:rsid w:val="637E48A2"/>
    <w:rsid w:val="638226D9"/>
    <w:rsid w:val="643D6EBA"/>
    <w:rsid w:val="64AE61A1"/>
    <w:rsid w:val="64CE3277"/>
    <w:rsid w:val="65114606"/>
    <w:rsid w:val="65215077"/>
    <w:rsid w:val="65A178B1"/>
    <w:rsid w:val="65CC202D"/>
    <w:rsid w:val="65F35A76"/>
    <w:rsid w:val="6650769B"/>
    <w:rsid w:val="669D5B65"/>
    <w:rsid w:val="675546A9"/>
    <w:rsid w:val="6775066F"/>
    <w:rsid w:val="68A744EF"/>
    <w:rsid w:val="68B03CB5"/>
    <w:rsid w:val="68DA25DA"/>
    <w:rsid w:val="691801A4"/>
    <w:rsid w:val="697E11B1"/>
    <w:rsid w:val="69A07025"/>
    <w:rsid w:val="69B76269"/>
    <w:rsid w:val="69D950F2"/>
    <w:rsid w:val="6A2C13C2"/>
    <w:rsid w:val="6A3362F2"/>
    <w:rsid w:val="6A3E4397"/>
    <w:rsid w:val="6ADC2FC1"/>
    <w:rsid w:val="6B15493D"/>
    <w:rsid w:val="6B882AE6"/>
    <w:rsid w:val="6BA511BE"/>
    <w:rsid w:val="6BCF3A45"/>
    <w:rsid w:val="6C555BD2"/>
    <w:rsid w:val="6D037582"/>
    <w:rsid w:val="6D410E76"/>
    <w:rsid w:val="6D555378"/>
    <w:rsid w:val="6D6910AA"/>
    <w:rsid w:val="6DC32856"/>
    <w:rsid w:val="6DCC06C1"/>
    <w:rsid w:val="6DD9764F"/>
    <w:rsid w:val="6DF43ABA"/>
    <w:rsid w:val="6E4F4155"/>
    <w:rsid w:val="6E602FD2"/>
    <w:rsid w:val="6E9818FA"/>
    <w:rsid w:val="6F7A1AD9"/>
    <w:rsid w:val="6F831AC9"/>
    <w:rsid w:val="6FB57BB9"/>
    <w:rsid w:val="6FC23EE4"/>
    <w:rsid w:val="6FF30F37"/>
    <w:rsid w:val="701B0BF4"/>
    <w:rsid w:val="718C78C2"/>
    <w:rsid w:val="727F57BC"/>
    <w:rsid w:val="72A7CC12"/>
    <w:rsid w:val="73366A13"/>
    <w:rsid w:val="733B4925"/>
    <w:rsid w:val="736E661F"/>
    <w:rsid w:val="7382394A"/>
    <w:rsid w:val="73BA13E1"/>
    <w:rsid w:val="73D17030"/>
    <w:rsid w:val="741F4828"/>
    <w:rsid w:val="74B71BE7"/>
    <w:rsid w:val="75821A14"/>
    <w:rsid w:val="758E3007"/>
    <w:rsid w:val="759651B4"/>
    <w:rsid w:val="76270F0D"/>
    <w:rsid w:val="769B1B4A"/>
    <w:rsid w:val="76A376AE"/>
    <w:rsid w:val="76AD0A82"/>
    <w:rsid w:val="76DF0192"/>
    <w:rsid w:val="76E44E03"/>
    <w:rsid w:val="76FF07EF"/>
    <w:rsid w:val="771F04DA"/>
    <w:rsid w:val="772F7107"/>
    <w:rsid w:val="77487F44"/>
    <w:rsid w:val="774E28E9"/>
    <w:rsid w:val="775D6461"/>
    <w:rsid w:val="7771012F"/>
    <w:rsid w:val="77976FEA"/>
    <w:rsid w:val="77EA7D54"/>
    <w:rsid w:val="78942645"/>
    <w:rsid w:val="78C85C6F"/>
    <w:rsid w:val="7904726A"/>
    <w:rsid w:val="792F5373"/>
    <w:rsid w:val="798F3C8F"/>
    <w:rsid w:val="79A42D30"/>
    <w:rsid w:val="79AF39C7"/>
    <w:rsid w:val="79B30D00"/>
    <w:rsid w:val="79C66DEF"/>
    <w:rsid w:val="79FC0187"/>
    <w:rsid w:val="7A173386"/>
    <w:rsid w:val="7A26693C"/>
    <w:rsid w:val="7A460E18"/>
    <w:rsid w:val="7AA231CC"/>
    <w:rsid w:val="7AFE0800"/>
    <w:rsid w:val="7AFFDE7A"/>
    <w:rsid w:val="7B2642D1"/>
    <w:rsid w:val="7B7B406B"/>
    <w:rsid w:val="7C6716E0"/>
    <w:rsid w:val="7CAA167E"/>
    <w:rsid w:val="7CF65F79"/>
    <w:rsid w:val="7D1617F5"/>
    <w:rsid w:val="7D1D7CF9"/>
    <w:rsid w:val="7DA62CFE"/>
    <w:rsid w:val="7EB72137"/>
    <w:rsid w:val="7EFF50DE"/>
    <w:rsid w:val="7F5657C0"/>
    <w:rsid w:val="7F77B4AD"/>
    <w:rsid w:val="7F894D49"/>
    <w:rsid w:val="7F8B34EF"/>
    <w:rsid w:val="7F946655"/>
    <w:rsid w:val="7FA58E20"/>
    <w:rsid w:val="7FFCFC19"/>
    <w:rsid w:val="ABFB73CE"/>
    <w:rsid w:val="AEFFD5C8"/>
    <w:rsid w:val="B337A810"/>
    <w:rsid w:val="B7B5A354"/>
    <w:rsid w:val="BB7743AE"/>
    <w:rsid w:val="D3ED47EF"/>
    <w:rsid w:val="D9FEFAD4"/>
    <w:rsid w:val="DFBFDA1C"/>
    <w:rsid w:val="E75B3DDC"/>
    <w:rsid w:val="E7FEEA00"/>
    <w:rsid w:val="F673EF83"/>
    <w:rsid w:val="F87F89DE"/>
    <w:rsid w:val="FB2F376F"/>
    <w:rsid w:val="FB6FA26E"/>
    <w:rsid w:val="FBFFA631"/>
    <w:rsid w:val="FE253C7B"/>
    <w:rsid w:val="FF7739AA"/>
    <w:rsid w:val="FF7F8050"/>
    <w:rsid w:val="FFF372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uiPriority w:val="9"/>
    <w:pPr>
      <w:keepNext/>
      <w:spacing w:beforeLines="100" w:afterLines="100"/>
      <w:jc w:val="center"/>
      <w:outlineLvl w:val="0"/>
    </w:pPr>
    <w:rPr>
      <w:rFonts w:hint="eastAsia" w:ascii="Courier New" w:hAnsi="Courier New" w:eastAsia="华文中宋"/>
      <w:b/>
      <w:sz w:val="30"/>
      <w:szCs w:val="32"/>
    </w:rPr>
  </w:style>
  <w:style w:type="paragraph" w:styleId="3">
    <w:name w:val="heading 2"/>
    <w:basedOn w:val="1"/>
    <w:next w:val="1"/>
    <w:link w:val="33"/>
    <w:unhideWhenUsed/>
    <w:qFormat/>
    <w:uiPriority w:val="9"/>
    <w:pPr>
      <w:ind w:firstLine="600" w:firstLineChars="200"/>
      <w:outlineLvl w:val="1"/>
    </w:pPr>
    <w:rPr>
      <w:rFonts w:hint="eastAsia" w:ascii="宋体" w:hAnsi="宋体" w:eastAsia="仿宋_GB2312"/>
      <w:b/>
      <w:bCs/>
      <w:kern w:val="0"/>
      <w:sz w:val="30"/>
      <w:szCs w:val="36"/>
    </w:rPr>
  </w:style>
  <w:style w:type="paragraph" w:styleId="4">
    <w:name w:val="heading 3"/>
    <w:basedOn w:val="1"/>
    <w:next w:val="5"/>
    <w:link w:val="31"/>
    <w:unhideWhenUsed/>
    <w:qFormat/>
    <w:uiPriority w:val="9"/>
    <w:pPr>
      <w:keepNext/>
      <w:keepLines/>
      <w:ind w:firstLine="600" w:firstLineChars="200"/>
      <w:outlineLvl w:val="2"/>
    </w:pPr>
    <w:rPr>
      <w:rFonts w:eastAsia="仿宋_GB2312"/>
      <w:b/>
      <w:sz w:val="30"/>
    </w:rPr>
  </w:style>
  <w:style w:type="character" w:default="1" w:styleId="23">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toc 7"/>
    <w:basedOn w:val="1"/>
    <w:next w:val="1"/>
    <w:unhideWhenUsed/>
    <w:qFormat/>
    <w:uiPriority w:val="39"/>
    <w:pPr>
      <w:ind w:left="2520" w:leftChars="1200"/>
    </w:pPr>
    <w:rPr>
      <w:rFonts w:asciiTheme="minorHAnsi" w:hAnsiTheme="minorHAnsi" w:eastAsiaTheme="minorEastAsia" w:cstheme="minorBidi"/>
    </w:rPr>
  </w:style>
  <w:style w:type="paragraph" w:styleId="7">
    <w:name w:val="annotation text"/>
    <w:basedOn w:val="1"/>
    <w:semiHidden/>
    <w:unhideWhenUsed/>
    <w:qFormat/>
    <w:uiPriority w:val="99"/>
    <w:pPr>
      <w:jc w:val="left"/>
    </w:pPr>
  </w:style>
  <w:style w:type="paragraph" w:styleId="8">
    <w:name w:val="Body Text"/>
    <w:basedOn w:val="1"/>
    <w:qFormat/>
    <w:uiPriority w:val="0"/>
    <w:rPr>
      <w:rFonts w:ascii="宋体" w:hAnsi="宋体"/>
      <w:sz w:val="30"/>
      <w:szCs w:val="24"/>
    </w:rPr>
  </w:style>
  <w:style w:type="paragraph" w:styleId="9">
    <w:name w:val="toc 5"/>
    <w:basedOn w:val="1"/>
    <w:next w:val="1"/>
    <w:unhideWhenUsed/>
    <w:qFormat/>
    <w:uiPriority w:val="39"/>
    <w:pPr>
      <w:ind w:left="1680" w:leftChars="800"/>
    </w:pPr>
    <w:rPr>
      <w:rFonts w:asciiTheme="minorHAnsi" w:hAnsiTheme="minorHAnsi" w:eastAsiaTheme="minorEastAsia" w:cstheme="minorBidi"/>
    </w:r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ind w:left="2940" w:leftChars="1400"/>
    </w:pPr>
    <w:rPr>
      <w:rFonts w:asciiTheme="minorHAnsi" w:hAnsiTheme="minorHAnsi" w:eastAsiaTheme="minorEastAsia" w:cstheme="minorBidi"/>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rPr>
      <w:rFonts w:asciiTheme="minorHAnsi" w:hAnsiTheme="minorHAnsi" w:eastAsiaTheme="minorEastAsia" w:cstheme="minorBidi"/>
    </w:rPr>
  </w:style>
  <w:style w:type="paragraph" w:styleId="17">
    <w:name w:val="footnote text"/>
    <w:basedOn w:val="1"/>
    <w:link w:val="34"/>
    <w:semiHidden/>
    <w:unhideWhenUsed/>
    <w:qFormat/>
    <w:uiPriority w:val="99"/>
    <w:pPr>
      <w:snapToGrid w:val="0"/>
      <w:jc w:val="left"/>
    </w:pPr>
    <w:rPr>
      <w:sz w:val="18"/>
    </w:rPr>
  </w:style>
  <w:style w:type="paragraph" w:styleId="18">
    <w:name w:val="toc 6"/>
    <w:basedOn w:val="1"/>
    <w:next w:val="1"/>
    <w:unhideWhenUsed/>
    <w:qFormat/>
    <w:uiPriority w:val="39"/>
    <w:pPr>
      <w:ind w:left="2100" w:leftChars="1000"/>
    </w:pPr>
    <w:rPr>
      <w:rFonts w:asciiTheme="minorHAnsi" w:hAnsiTheme="minorHAnsi" w:eastAsiaTheme="minorEastAsia" w:cstheme="minorBidi"/>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pPr>
    <w:rPr>
      <w:rFonts w:asciiTheme="minorHAnsi" w:hAnsiTheme="minorHAnsi" w:eastAsiaTheme="minorEastAsia" w:cstheme="minorBidi"/>
    </w:rPr>
  </w:style>
  <w:style w:type="paragraph" w:styleId="21">
    <w:name w:val="Normal (Web)"/>
    <w:basedOn w:val="1"/>
    <w:unhideWhenUsed/>
    <w:qFormat/>
    <w:uiPriority w:val="99"/>
    <w:pPr>
      <w:spacing w:before="100" w:beforeAutospacing="1" w:after="100" w:afterAutospacing="1"/>
      <w:jc w:val="left"/>
    </w:pPr>
    <w:rPr>
      <w:kern w:val="0"/>
      <w:sz w:val="24"/>
    </w:rPr>
  </w:style>
  <w:style w:type="character" w:styleId="24">
    <w:name w:val="FollowedHyperlink"/>
    <w:basedOn w:val="23"/>
    <w:semiHidden/>
    <w:unhideWhenUsed/>
    <w:qFormat/>
    <w:uiPriority w:val="99"/>
    <w:rPr>
      <w:color w:val="005C81"/>
      <w:u w:val="none"/>
    </w:rPr>
  </w:style>
  <w:style w:type="character" w:styleId="25">
    <w:name w:val="Emphasis"/>
    <w:basedOn w:val="23"/>
    <w:qFormat/>
    <w:uiPriority w:val="20"/>
  </w:style>
  <w:style w:type="character" w:styleId="26">
    <w:name w:val="Hyperlink"/>
    <w:basedOn w:val="23"/>
    <w:unhideWhenUsed/>
    <w:qFormat/>
    <w:uiPriority w:val="99"/>
    <w:rPr>
      <w:color w:val="0000FF" w:themeColor="hyperlink"/>
      <w:u w:val="single"/>
    </w:rPr>
  </w:style>
  <w:style w:type="character" w:styleId="27">
    <w:name w:val="annotation reference"/>
    <w:basedOn w:val="23"/>
    <w:semiHidden/>
    <w:unhideWhenUsed/>
    <w:qFormat/>
    <w:uiPriority w:val="99"/>
    <w:rPr>
      <w:sz w:val="21"/>
      <w:szCs w:val="21"/>
    </w:rPr>
  </w:style>
  <w:style w:type="character" w:customStyle="1" w:styleId="28">
    <w:name w:val="页眉 Char"/>
    <w:link w:val="14"/>
    <w:qFormat/>
    <w:uiPriority w:val="99"/>
    <w:rPr>
      <w:rFonts w:ascii="Calibri" w:hAnsi="Calibri" w:eastAsia="宋体"/>
      <w:kern w:val="2"/>
      <w:sz w:val="18"/>
      <w:szCs w:val="18"/>
    </w:rPr>
  </w:style>
  <w:style w:type="character" w:customStyle="1" w:styleId="29">
    <w:name w:val="页脚 Char"/>
    <w:link w:val="13"/>
    <w:qFormat/>
    <w:uiPriority w:val="99"/>
    <w:rPr>
      <w:rFonts w:ascii="Calibri" w:hAnsi="Calibri" w:eastAsia="宋体"/>
      <w:kern w:val="2"/>
      <w:sz w:val="18"/>
      <w:szCs w:val="18"/>
    </w:rPr>
  </w:style>
  <w:style w:type="character" w:customStyle="1" w:styleId="30">
    <w:name w:val="批注框文本 Char"/>
    <w:basedOn w:val="23"/>
    <w:link w:val="12"/>
    <w:semiHidden/>
    <w:qFormat/>
    <w:uiPriority w:val="99"/>
    <w:rPr>
      <w:rFonts w:ascii="Calibri" w:hAnsi="Calibri"/>
      <w:kern w:val="2"/>
      <w:sz w:val="18"/>
      <w:szCs w:val="18"/>
    </w:rPr>
  </w:style>
  <w:style w:type="character" w:customStyle="1" w:styleId="31">
    <w:name w:val="标题 3 Char"/>
    <w:basedOn w:val="23"/>
    <w:link w:val="4"/>
    <w:qFormat/>
    <w:uiPriority w:val="0"/>
    <w:rPr>
      <w:rFonts w:hint="default" w:ascii="Times New Roman" w:hAnsi="Times New Roman" w:cs="Times New Roman"/>
    </w:rPr>
  </w:style>
  <w:style w:type="character" w:customStyle="1" w:styleId="32">
    <w:name w:val="标题 1 Char"/>
    <w:basedOn w:val="23"/>
    <w:link w:val="2"/>
    <w:qFormat/>
    <w:uiPriority w:val="0"/>
    <w:rPr>
      <w:rFonts w:hint="eastAsia" w:ascii="宋体" w:hAnsi="宋体" w:eastAsia="宋体" w:cs="宋体"/>
      <w:b/>
      <w:bCs/>
    </w:rPr>
  </w:style>
  <w:style w:type="character" w:customStyle="1" w:styleId="33">
    <w:name w:val="标题 2 Char"/>
    <w:basedOn w:val="23"/>
    <w:link w:val="3"/>
    <w:qFormat/>
    <w:uiPriority w:val="0"/>
    <w:rPr>
      <w:rFonts w:hint="default" w:ascii="Calibri" w:hAnsi="Calibri" w:cs="Calibri"/>
    </w:rPr>
  </w:style>
  <w:style w:type="character" w:customStyle="1" w:styleId="34">
    <w:name w:val="脚注文本 Char"/>
    <w:basedOn w:val="23"/>
    <w:link w:val="17"/>
    <w:qFormat/>
    <w:uiPriority w:val="0"/>
    <w:rPr>
      <w:rFonts w:hint="eastAsia"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30</Pages>
  <Words>2951</Words>
  <Characters>16825</Characters>
  <Lines>140</Lines>
  <Paragraphs>39</Paragraphs>
  <TotalTime>20</TotalTime>
  <ScaleCrop>false</ScaleCrop>
  <LinksUpToDate>false</LinksUpToDate>
  <CharactersWithSpaces>19737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2022-08-18T02:31:00Z</dcterms:created>
  <dc:creator>lenovo</dc:creator>
  <cp:lastModifiedBy> </cp:lastModifiedBy>
  <cp:lastPrinted>2022-06-25T10:04:00Z</cp:lastPrinted>
  <dcterms:modified xsi:type="dcterms:W3CDTF">2024-09-30T09:08:39Z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0EBBF44E377044639E1486799122A4F8</vt:lpwstr>
  </property>
</Properties>
</file>